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D15B7" w14:textId="20A9E07A" w:rsidR="0038714A" w:rsidRDefault="0038714A" w:rsidP="0038714A">
      <w:pPr>
        <w:spacing w:afterLines="50" w:after="156"/>
        <w:rPr>
          <w:rFonts w:ascii="Times New Roman Regular" w:hAnsi="Times New Roman Regular" w:cs="Times New Roman Regular"/>
        </w:rPr>
      </w:pPr>
      <w:r>
        <w:rPr>
          <w:rFonts w:ascii="Times New Roman Bold" w:hAnsi="Times New Roman Bold" w:cs="Times New Roman Bold"/>
          <w:b/>
          <w:bCs/>
        </w:rPr>
        <w:t>Supplementary Table 1.</w:t>
      </w:r>
      <w:r>
        <w:rPr>
          <w:rFonts w:ascii="Times New Roman Regular" w:hAnsi="Times New Roman Regular" w:cs="Times New Roman Regular"/>
        </w:rPr>
        <w:t xml:space="preserve"> QUADAS-2 assessment.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18"/>
        <w:gridCol w:w="884"/>
        <w:gridCol w:w="796"/>
        <w:gridCol w:w="990"/>
        <w:gridCol w:w="1228"/>
        <w:gridCol w:w="2990"/>
      </w:tblGrid>
      <w:tr w:rsidR="0038714A" w14:paraId="02B2F85B" w14:textId="77777777" w:rsidTr="00983F51">
        <w:trPr>
          <w:trHeight w:val="336"/>
        </w:trPr>
        <w:tc>
          <w:tcPr>
            <w:tcW w:w="854" w:type="pct"/>
            <w:tcBorders>
              <w:top w:val="single" w:sz="4" w:space="0" w:color="000000"/>
              <w:bottom w:val="single" w:sz="4" w:space="0" w:color="000000"/>
              <w:tl2br w:val="nil"/>
              <w:tr2bl w:val="nil"/>
            </w:tcBorders>
            <w:noWrap/>
            <w:vAlign w:val="center"/>
          </w:tcPr>
          <w:p w14:paraId="4B76C4DA" w14:textId="77777777" w:rsidR="0038714A" w:rsidRDefault="0038714A" w:rsidP="00983F51">
            <w:pPr>
              <w:widowControl/>
              <w:jc w:val="center"/>
              <w:textAlignment w:val="top"/>
              <w:rPr>
                <w:rFonts w:ascii="Times New Roman Bold" w:eastAsia="宋体" w:hAnsi="Times New Roman Bold" w:cs="Times New Roman Bold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Bold" w:eastAsia="宋体" w:hAnsi="Times New Roman Bold" w:cs="Times New Roman Bold"/>
                <w:b/>
                <w:bCs/>
                <w:color w:val="000000"/>
                <w:kern w:val="0"/>
                <w:sz w:val="18"/>
                <w:szCs w:val="18"/>
              </w:rPr>
              <w:t>StudyID</w:t>
            </w:r>
            <w:proofErr w:type="spellEnd"/>
          </w:p>
        </w:tc>
        <w:tc>
          <w:tcPr>
            <w:tcW w:w="532" w:type="pct"/>
            <w:tcBorders>
              <w:top w:val="single" w:sz="4" w:space="0" w:color="000000"/>
              <w:bottom w:val="single" w:sz="4" w:space="0" w:color="000000"/>
              <w:tl2br w:val="nil"/>
              <w:tr2bl w:val="nil"/>
            </w:tcBorders>
            <w:noWrap/>
            <w:vAlign w:val="center"/>
          </w:tcPr>
          <w:p w14:paraId="266AC1F4" w14:textId="77777777" w:rsidR="0038714A" w:rsidRDefault="0038714A" w:rsidP="00983F51">
            <w:pPr>
              <w:widowControl/>
              <w:jc w:val="center"/>
              <w:textAlignment w:val="top"/>
              <w:rPr>
                <w:rFonts w:ascii="Times New Roman Bold" w:eastAsia="宋体" w:hAnsi="Times New Roman Bold" w:cs="Times New Roman 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 Bold" w:eastAsia="宋体" w:hAnsi="Times New Roman Bold" w:cs="Times New Roman Bold"/>
                <w:b/>
                <w:bCs/>
                <w:color w:val="000000"/>
                <w:kern w:val="0"/>
                <w:sz w:val="18"/>
                <w:szCs w:val="18"/>
              </w:rPr>
              <w:t>Patient selection</w:t>
            </w:r>
          </w:p>
        </w:tc>
        <w:tc>
          <w:tcPr>
            <w:tcW w:w="479" w:type="pct"/>
            <w:tcBorders>
              <w:top w:val="single" w:sz="4" w:space="0" w:color="000000"/>
              <w:bottom w:val="single" w:sz="4" w:space="0" w:color="000000"/>
              <w:tl2br w:val="nil"/>
              <w:tr2bl w:val="nil"/>
            </w:tcBorders>
            <w:noWrap/>
            <w:vAlign w:val="center"/>
          </w:tcPr>
          <w:p w14:paraId="689F708D" w14:textId="77777777" w:rsidR="0038714A" w:rsidRDefault="0038714A" w:rsidP="00983F51">
            <w:pPr>
              <w:widowControl/>
              <w:jc w:val="center"/>
              <w:textAlignment w:val="top"/>
              <w:rPr>
                <w:rFonts w:ascii="Times New Roman Bold" w:eastAsia="宋体" w:hAnsi="Times New Roman Bold" w:cs="Times New Roman 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 Bold" w:eastAsia="宋体" w:hAnsi="Times New Roman Bold" w:cs="Times New Roman Bold"/>
                <w:b/>
                <w:bCs/>
                <w:color w:val="000000"/>
                <w:kern w:val="0"/>
                <w:sz w:val="18"/>
                <w:szCs w:val="18"/>
              </w:rPr>
              <w:t>Index test</w:t>
            </w:r>
          </w:p>
        </w:tc>
        <w:tc>
          <w:tcPr>
            <w:tcW w:w="596" w:type="pct"/>
            <w:tcBorders>
              <w:top w:val="single" w:sz="4" w:space="0" w:color="000000"/>
              <w:bottom w:val="single" w:sz="4" w:space="0" w:color="000000"/>
              <w:tl2br w:val="nil"/>
              <w:tr2bl w:val="nil"/>
            </w:tcBorders>
            <w:noWrap/>
            <w:vAlign w:val="center"/>
          </w:tcPr>
          <w:p w14:paraId="47ADB2EE" w14:textId="77777777" w:rsidR="0038714A" w:rsidRDefault="0038714A" w:rsidP="00983F51">
            <w:pPr>
              <w:widowControl/>
              <w:jc w:val="center"/>
              <w:textAlignment w:val="top"/>
              <w:rPr>
                <w:rFonts w:ascii="Times New Roman Bold" w:eastAsia="宋体" w:hAnsi="Times New Roman Bold" w:cs="Times New Roman 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 Bold" w:eastAsia="宋体" w:hAnsi="Times New Roman Bold" w:cs="Times New Roman Bold"/>
                <w:b/>
                <w:bCs/>
                <w:color w:val="000000"/>
                <w:kern w:val="0"/>
                <w:sz w:val="18"/>
                <w:szCs w:val="18"/>
              </w:rPr>
              <w:t>Reference standard</w:t>
            </w:r>
          </w:p>
        </w:tc>
        <w:tc>
          <w:tcPr>
            <w:tcW w:w="739" w:type="pct"/>
            <w:tcBorders>
              <w:top w:val="single" w:sz="4" w:space="0" w:color="000000"/>
              <w:bottom w:val="single" w:sz="4" w:space="0" w:color="000000"/>
              <w:tl2br w:val="nil"/>
              <w:tr2bl w:val="nil"/>
            </w:tcBorders>
            <w:noWrap/>
            <w:vAlign w:val="center"/>
          </w:tcPr>
          <w:p w14:paraId="6DB628E7" w14:textId="77777777" w:rsidR="0038714A" w:rsidRDefault="0038714A" w:rsidP="00983F51">
            <w:pPr>
              <w:widowControl/>
              <w:jc w:val="center"/>
              <w:textAlignment w:val="top"/>
              <w:rPr>
                <w:rFonts w:ascii="Times New Roman Bold" w:eastAsia="宋体" w:hAnsi="Times New Roman Bold" w:cs="Times New Roman 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 Bold" w:eastAsia="宋体" w:hAnsi="Times New Roman Bold" w:cs="Times New Roman Bold"/>
                <w:b/>
                <w:bCs/>
                <w:color w:val="000000"/>
                <w:kern w:val="0"/>
                <w:sz w:val="18"/>
                <w:szCs w:val="18"/>
              </w:rPr>
              <w:t>Flow &amp; timing</w:t>
            </w:r>
          </w:p>
        </w:tc>
        <w:tc>
          <w:tcPr>
            <w:tcW w:w="1801" w:type="pct"/>
            <w:tcBorders>
              <w:top w:val="single" w:sz="4" w:space="0" w:color="000000"/>
              <w:bottom w:val="single" w:sz="4" w:space="0" w:color="000000"/>
              <w:tl2br w:val="nil"/>
              <w:tr2bl w:val="nil"/>
            </w:tcBorders>
            <w:noWrap/>
            <w:vAlign w:val="center"/>
          </w:tcPr>
          <w:p w14:paraId="004C1AF6" w14:textId="77777777" w:rsidR="0038714A" w:rsidRDefault="0038714A" w:rsidP="00983F51">
            <w:pPr>
              <w:widowControl/>
              <w:jc w:val="center"/>
              <w:textAlignment w:val="top"/>
              <w:rPr>
                <w:rFonts w:ascii="Times New Roman Bold" w:eastAsia="宋体" w:hAnsi="Times New Roman Bold" w:cs="Times New Roman 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 Bold" w:eastAsia="宋体" w:hAnsi="Times New Roman Bold" w:cs="Times New Roman Bold"/>
                <w:b/>
                <w:bCs/>
                <w:color w:val="000000"/>
                <w:kern w:val="0"/>
                <w:sz w:val="18"/>
                <w:szCs w:val="18"/>
              </w:rPr>
              <w:t>Key concerns</w:t>
            </w:r>
          </w:p>
        </w:tc>
      </w:tr>
      <w:tr w:rsidR="0038714A" w14:paraId="10A7EF3A" w14:textId="77777777" w:rsidTr="00983F51">
        <w:trPr>
          <w:trHeight w:val="336"/>
        </w:trPr>
        <w:tc>
          <w:tcPr>
            <w:tcW w:w="854" w:type="pct"/>
            <w:tcBorders>
              <w:top w:val="single" w:sz="4" w:space="0" w:color="000000"/>
              <w:tl2br w:val="nil"/>
              <w:tr2bl w:val="nil"/>
            </w:tcBorders>
            <w:noWrap/>
            <w:vAlign w:val="center"/>
          </w:tcPr>
          <w:p w14:paraId="26EE7C40" w14:textId="0EE0EC0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Trybek_2014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[1]</w:t>
            </w:r>
          </w:p>
        </w:tc>
        <w:tc>
          <w:tcPr>
            <w:tcW w:w="532" w:type="pct"/>
            <w:tcBorders>
              <w:top w:val="single" w:sz="4" w:space="0" w:color="000000"/>
              <w:tl2br w:val="nil"/>
              <w:tr2bl w:val="nil"/>
            </w:tcBorders>
            <w:noWrap/>
            <w:vAlign w:val="center"/>
          </w:tcPr>
          <w:p w14:paraId="26216627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479" w:type="pct"/>
            <w:tcBorders>
              <w:top w:val="single" w:sz="4" w:space="0" w:color="000000"/>
              <w:tl2br w:val="nil"/>
              <w:tr2bl w:val="nil"/>
            </w:tcBorders>
            <w:noWrap/>
            <w:vAlign w:val="center"/>
          </w:tcPr>
          <w:p w14:paraId="6A58A19F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596" w:type="pct"/>
            <w:tcBorders>
              <w:top w:val="single" w:sz="4" w:space="0" w:color="000000"/>
              <w:tl2br w:val="nil"/>
              <w:tr2bl w:val="nil"/>
            </w:tcBorders>
            <w:noWrap/>
            <w:vAlign w:val="center"/>
          </w:tcPr>
          <w:p w14:paraId="653D42D7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High</w:t>
            </w:r>
          </w:p>
        </w:tc>
        <w:tc>
          <w:tcPr>
            <w:tcW w:w="739" w:type="pct"/>
            <w:tcBorders>
              <w:top w:val="single" w:sz="4" w:space="0" w:color="000000"/>
              <w:tl2br w:val="nil"/>
              <w:tr2bl w:val="nil"/>
            </w:tcBorders>
            <w:noWrap/>
            <w:vAlign w:val="center"/>
          </w:tcPr>
          <w:p w14:paraId="7A3A0DD1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1801" w:type="pct"/>
            <w:tcBorders>
              <w:top w:val="single" w:sz="4" w:space="0" w:color="000000"/>
              <w:tl2br w:val="nil"/>
              <w:tr2bl w:val="nil"/>
            </w:tcBorders>
            <w:noWrap/>
            <w:vAlign w:val="center"/>
          </w:tcPr>
          <w:p w14:paraId="2030F15B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PET− not uniformly verified; partial verification likely</w:t>
            </w:r>
          </w:p>
        </w:tc>
      </w:tr>
      <w:tr w:rsidR="0038714A" w14:paraId="79FA7EA5" w14:textId="77777777" w:rsidTr="00983F51">
        <w:trPr>
          <w:trHeight w:val="336"/>
        </w:trPr>
        <w:tc>
          <w:tcPr>
            <w:tcW w:w="854" w:type="pct"/>
            <w:tcBorders>
              <w:tl2br w:val="nil"/>
              <w:tr2bl w:val="nil"/>
            </w:tcBorders>
            <w:noWrap/>
            <w:vAlign w:val="center"/>
          </w:tcPr>
          <w:p w14:paraId="15913C45" w14:textId="2DD56CF4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Boktor_2022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532" w:type="pct"/>
            <w:tcBorders>
              <w:tl2br w:val="nil"/>
              <w:tr2bl w:val="nil"/>
            </w:tcBorders>
            <w:noWrap/>
            <w:vAlign w:val="center"/>
          </w:tcPr>
          <w:p w14:paraId="7FC1DF61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479" w:type="pct"/>
            <w:tcBorders>
              <w:tl2br w:val="nil"/>
              <w:tr2bl w:val="nil"/>
            </w:tcBorders>
            <w:noWrap/>
            <w:vAlign w:val="center"/>
          </w:tcPr>
          <w:p w14:paraId="4BA394E8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Low</w:t>
            </w:r>
          </w:p>
        </w:tc>
        <w:tc>
          <w:tcPr>
            <w:tcW w:w="596" w:type="pct"/>
            <w:tcBorders>
              <w:tl2br w:val="nil"/>
              <w:tr2bl w:val="nil"/>
            </w:tcBorders>
            <w:noWrap/>
            <w:vAlign w:val="center"/>
          </w:tcPr>
          <w:p w14:paraId="5D946E1B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739" w:type="pct"/>
            <w:tcBorders>
              <w:tl2br w:val="nil"/>
              <w:tr2bl w:val="nil"/>
            </w:tcBorders>
            <w:noWrap/>
            <w:vAlign w:val="center"/>
          </w:tcPr>
          <w:p w14:paraId="2250FC3E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Low</w:t>
            </w:r>
          </w:p>
        </w:tc>
        <w:tc>
          <w:tcPr>
            <w:tcW w:w="1801" w:type="pct"/>
            <w:tcBorders>
              <w:tl2br w:val="nil"/>
              <w:tr2bl w:val="nil"/>
            </w:tcBorders>
            <w:noWrap/>
            <w:vAlign w:val="center"/>
          </w:tcPr>
          <w:p w14:paraId="17E9A8B9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Composite reference standard; selection process not fully detailed</w:t>
            </w:r>
          </w:p>
        </w:tc>
      </w:tr>
      <w:tr w:rsidR="0038714A" w14:paraId="39CF4455" w14:textId="77777777" w:rsidTr="00983F51">
        <w:trPr>
          <w:trHeight w:val="336"/>
        </w:trPr>
        <w:tc>
          <w:tcPr>
            <w:tcW w:w="854" w:type="pct"/>
            <w:tcBorders>
              <w:tl2br w:val="nil"/>
              <w:tr2bl w:val="nil"/>
            </w:tcBorders>
            <w:noWrap/>
            <w:vAlign w:val="center"/>
          </w:tcPr>
          <w:p w14:paraId="19D97E0C" w14:textId="4178C940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Kolodziej_2021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532" w:type="pct"/>
            <w:tcBorders>
              <w:tl2br w:val="nil"/>
              <w:tr2bl w:val="nil"/>
            </w:tcBorders>
            <w:noWrap/>
            <w:vAlign w:val="center"/>
          </w:tcPr>
          <w:p w14:paraId="47C560CF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479" w:type="pct"/>
            <w:tcBorders>
              <w:tl2br w:val="nil"/>
              <w:tr2bl w:val="nil"/>
            </w:tcBorders>
            <w:noWrap/>
            <w:vAlign w:val="center"/>
          </w:tcPr>
          <w:p w14:paraId="7A1FC5DA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596" w:type="pct"/>
            <w:tcBorders>
              <w:tl2br w:val="nil"/>
              <w:tr2bl w:val="nil"/>
            </w:tcBorders>
            <w:noWrap/>
            <w:vAlign w:val="center"/>
          </w:tcPr>
          <w:p w14:paraId="2FF6488A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739" w:type="pct"/>
            <w:tcBorders>
              <w:tl2br w:val="nil"/>
              <w:tr2bl w:val="nil"/>
            </w:tcBorders>
            <w:noWrap/>
            <w:vAlign w:val="center"/>
          </w:tcPr>
          <w:p w14:paraId="164991DB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1801" w:type="pct"/>
            <w:tcBorders>
              <w:tl2br w:val="nil"/>
              <w:tr2bl w:val="nil"/>
            </w:tcBorders>
            <w:noWrap/>
            <w:vAlign w:val="center"/>
          </w:tcPr>
          <w:p w14:paraId="1F6D291F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Scan-level; unclear reference standard details; possible repeat patients</w:t>
            </w:r>
          </w:p>
        </w:tc>
      </w:tr>
      <w:tr w:rsidR="0038714A" w14:paraId="7CE10224" w14:textId="77777777" w:rsidTr="00983F51">
        <w:trPr>
          <w:trHeight w:val="336"/>
        </w:trPr>
        <w:tc>
          <w:tcPr>
            <w:tcW w:w="854" w:type="pct"/>
            <w:tcBorders>
              <w:tl2br w:val="nil"/>
              <w:tr2bl w:val="nil"/>
            </w:tcBorders>
            <w:noWrap/>
            <w:vAlign w:val="center"/>
          </w:tcPr>
          <w:p w14:paraId="5F7D41F3" w14:textId="18F42649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Filippi_2021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532" w:type="pct"/>
            <w:tcBorders>
              <w:tl2br w:val="nil"/>
              <w:tr2bl w:val="nil"/>
            </w:tcBorders>
            <w:noWrap/>
            <w:vAlign w:val="center"/>
          </w:tcPr>
          <w:p w14:paraId="6357F5A5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479" w:type="pct"/>
            <w:tcBorders>
              <w:tl2br w:val="nil"/>
              <w:tr2bl w:val="nil"/>
            </w:tcBorders>
            <w:noWrap/>
            <w:vAlign w:val="center"/>
          </w:tcPr>
          <w:p w14:paraId="4077AA23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596" w:type="pct"/>
            <w:tcBorders>
              <w:tl2br w:val="nil"/>
              <w:tr2bl w:val="nil"/>
            </w:tcBorders>
            <w:noWrap/>
            <w:vAlign w:val="center"/>
          </w:tcPr>
          <w:p w14:paraId="49C6C978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739" w:type="pct"/>
            <w:tcBorders>
              <w:tl2br w:val="nil"/>
              <w:tr2bl w:val="nil"/>
            </w:tcBorders>
            <w:noWrap/>
            <w:vAlign w:val="center"/>
          </w:tcPr>
          <w:p w14:paraId="6A2BE8BE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Low</w:t>
            </w:r>
          </w:p>
        </w:tc>
        <w:tc>
          <w:tcPr>
            <w:tcW w:w="1801" w:type="pct"/>
            <w:tcBorders>
              <w:tl2br w:val="nil"/>
              <w:tr2bl w:val="nil"/>
            </w:tcBorders>
            <w:noWrap/>
            <w:vAlign w:val="center"/>
          </w:tcPr>
          <w:p w14:paraId="318CAD4C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Retrospective; composite reference standard; multicenter variability</w:t>
            </w:r>
          </w:p>
        </w:tc>
      </w:tr>
      <w:tr w:rsidR="0038714A" w14:paraId="05A2B697" w14:textId="77777777" w:rsidTr="00983F51">
        <w:trPr>
          <w:trHeight w:val="336"/>
        </w:trPr>
        <w:tc>
          <w:tcPr>
            <w:tcW w:w="854" w:type="pct"/>
            <w:tcBorders>
              <w:tl2br w:val="nil"/>
              <w:tr2bl w:val="nil"/>
            </w:tcBorders>
            <w:noWrap/>
            <w:vAlign w:val="center"/>
          </w:tcPr>
          <w:p w14:paraId="5F1C0E7F" w14:textId="1504EBC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Albano_2021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532" w:type="pct"/>
            <w:tcBorders>
              <w:tl2br w:val="nil"/>
              <w:tr2bl w:val="nil"/>
            </w:tcBorders>
            <w:noWrap/>
            <w:vAlign w:val="center"/>
          </w:tcPr>
          <w:p w14:paraId="5264FBDF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479" w:type="pct"/>
            <w:tcBorders>
              <w:tl2br w:val="nil"/>
              <w:tr2bl w:val="nil"/>
            </w:tcBorders>
            <w:noWrap/>
            <w:vAlign w:val="center"/>
          </w:tcPr>
          <w:p w14:paraId="071F7CC5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Low</w:t>
            </w:r>
          </w:p>
        </w:tc>
        <w:tc>
          <w:tcPr>
            <w:tcW w:w="596" w:type="pct"/>
            <w:tcBorders>
              <w:tl2br w:val="nil"/>
              <w:tr2bl w:val="nil"/>
            </w:tcBorders>
            <w:noWrap/>
            <w:vAlign w:val="center"/>
          </w:tcPr>
          <w:p w14:paraId="5E02547A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739" w:type="pct"/>
            <w:tcBorders>
              <w:tl2br w:val="nil"/>
              <w:tr2bl w:val="nil"/>
            </w:tcBorders>
            <w:noWrap/>
            <w:vAlign w:val="center"/>
          </w:tcPr>
          <w:p w14:paraId="1A6FAE08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1801" w:type="pct"/>
            <w:tcBorders>
              <w:tl2br w:val="nil"/>
              <w:tr2bl w:val="nil"/>
            </w:tcBorders>
            <w:noWrap/>
            <w:vAlign w:val="center"/>
          </w:tcPr>
          <w:p w14:paraId="497416FD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 xml:space="preserve">Composite standard includes </w:t>
            </w: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 xml:space="preserve"> kinetics; retrospective selection</w:t>
            </w:r>
          </w:p>
        </w:tc>
      </w:tr>
      <w:tr w:rsidR="0038714A" w14:paraId="79F78C7B" w14:textId="77777777" w:rsidTr="00983F51">
        <w:trPr>
          <w:trHeight w:val="336"/>
        </w:trPr>
        <w:tc>
          <w:tcPr>
            <w:tcW w:w="854" w:type="pct"/>
            <w:tcBorders>
              <w:tl2br w:val="nil"/>
              <w:tr2bl w:val="nil"/>
            </w:tcBorders>
            <w:noWrap/>
            <w:vAlign w:val="center"/>
          </w:tcPr>
          <w:p w14:paraId="4E4367B1" w14:textId="6ABE2D02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Choi_2016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+)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532" w:type="pct"/>
            <w:tcBorders>
              <w:tl2br w:val="nil"/>
              <w:tr2bl w:val="nil"/>
            </w:tcBorders>
            <w:noWrap/>
            <w:vAlign w:val="center"/>
          </w:tcPr>
          <w:p w14:paraId="0AEDCAEB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479" w:type="pct"/>
            <w:tcBorders>
              <w:tl2br w:val="nil"/>
              <w:tr2bl w:val="nil"/>
            </w:tcBorders>
            <w:noWrap/>
            <w:vAlign w:val="center"/>
          </w:tcPr>
          <w:p w14:paraId="5F8E5623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Low</w:t>
            </w:r>
          </w:p>
        </w:tc>
        <w:tc>
          <w:tcPr>
            <w:tcW w:w="596" w:type="pct"/>
            <w:tcBorders>
              <w:tl2br w:val="nil"/>
              <w:tr2bl w:val="nil"/>
            </w:tcBorders>
            <w:noWrap/>
            <w:vAlign w:val="center"/>
          </w:tcPr>
          <w:p w14:paraId="728B6277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739" w:type="pct"/>
            <w:tcBorders>
              <w:tl2br w:val="nil"/>
              <w:tr2bl w:val="nil"/>
            </w:tcBorders>
            <w:noWrap/>
            <w:vAlign w:val="center"/>
          </w:tcPr>
          <w:p w14:paraId="684D62B1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1801" w:type="pct"/>
            <w:tcBorders>
              <w:tl2br w:val="nil"/>
              <w:tr2bl w:val="nil"/>
            </w:tcBorders>
            <w:noWrap/>
            <w:vAlign w:val="center"/>
          </w:tcPr>
          <w:p w14:paraId="7BD01D0E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Composite standard; imaging not uniformly applied; mixed TSH status at PET</w:t>
            </w:r>
          </w:p>
        </w:tc>
      </w:tr>
      <w:tr w:rsidR="0038714A" w14:paraId="3AEA05D6" w14:textId="77777777" w:rsidTr="00983F51">
        <w:trPr>
          <w:trHeight w:val="336"/>
        </w:trPr>
        <w:tc>
          <w:tcPr>
            <w:tcW w:w="854" w:type="pct"/>
            <w:tcBorders>
              <w:tl2br w:val="nil"/>
              <w:tr2bl w:val="nil"/>
            </w:tcBorders>
            <w:noWrap/>
            <w:vAlign w:val="center"/>
          </w:tcPr>
          <w:p w14:paraId="28D54831" w14:textId="5A842EE6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Prestwich_2012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532" w:type="pct"/>
            <w:tcBorders>
              <w:tl2br w:val="nil"/>
              <w:tr2bl w:val="nil"/>
            </w:tcBorders>
            <w:noWrap/>
            <w:vAlign w:val="center"/>
          </w:tcPr>
          <w:p w14:paraId="193F3CDF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479" w:type="pct"/>
            <w:tcBorders>
              <w:tl2br w:val="nil"/>
              <w:tr2bl w:val="nil"/>
            </w:tcBorders>
            <w:noWrap/>
            <w:vAlign w:val="center"/>
          </w:tcPr>
          <w:p w14:paraId="2A0EEBEA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596" w:type="pct"/>
            <w:tcBorders>
              <w:tl2br w:val="nil"/>
              <w:tr2bl w:val="nil"/>
            </w:tcBorders>
            <w:noWrap/>
            <w:vAlign w:val="center"/>
          </w:tcPr>
          <w:p w14:paraId="197D2CA1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739" w:type="pct"/>
            <w:tcBorders>
              <w:tl2br w:val="nil"/>
              <w:tr2bl w:val="nil"/>
            </w:tcBorders>
            <w:noWrap/>
            <w:vAlign w:val="center"/>
          </w:tcPr>
          <w:p w14:paraId="7225CDF0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1801" w:type="pct"/>
            <w:tcBorders>
              <w:tl2br w:val="nil"/>
              <w:tr2bl w:val="nil"/>
            </w:tcBorders>
            <w:noWrap/>
            <w:vAlign w:val="center"/>
          </w:tcPr>
          <w:p w14:paraId="2F5A6BE5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Scan-level with repeated patients; mixed indications; subset excluded from accuracy analysis</w:t>
            </w:r>
          </w:p>
        </w:tc>
      </w:tr>
      <w:tr w:rsidR="0038714A" w14:paraId="48D3641C" w14:textId="77777777" w:rsidTr="00983F51">
        <w:trPr>
          <w:trHeight w:val="336"/>
        </w:trPr>
        <w:tc>
          <w:tcPr>
            <w:tcW w:w="854" w:type="pct"/>
            <w:tcBorders>
              <w:bottom w:val="single" w:sz="4" w:space="0" w:color="000000"/>
              <w:tl2br w:val="nil"/>
              <w:tr2bl w:val="nil"/>
            </w:tcBorders>
            <w:noWrap/>
            <w:vAlign w:val="center"/>
          </w:tcPr>
          <w:p w14:paraId="3EEEADD2" w14:textId="03A823FF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Doner_2016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532" w:type="pct"/>
            <w:tcBorders>
              <w:bottom w:val="single" w:sz="4" w:space="0" w:color="000000"/>
              <w:tl2br w:val="nil"/>
              <w:tr2bl w:val="nil"/>
            </w:tcBorders>
            <w:noWrap/>
            <w:vAlign w:val="center"/>
          </w:tcPr>
          <w:p w14:paraId="658F2B47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479" w:type="pct"/>
            <w:tcBorders>
              <w:bottom w:val="single" w:sz="4" w:space="0" w:color="000000"/>
              <w:tl2br w:val="nil"/>
              <w:tr2bl w:val="nil"/>
            </w:tcBorders>
            <w:noWrap/>
            <w:vAlign w:val="center"/>
          </w:tcPr>
          <w:p w14:paraId="407C2267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Low</w:t>
            </w:r>
          </w:p>
        </w:tc>
        <w:tc>
          <w:tcPr>
            <w:tcW w:w="596" w:type="pct"/>
            <w:tcBorders>
              <w:bottom w:val="single" w:sz="4" w:space="0" w:color="000000"/>
              <w:tl2br w:val="nil"/>
              <w:tr2bl w:val="nil"/>
            </w:tcBorders>
            <w:noWrap/>
            <w:vAlign w:val="center"/>
          </w:tcPr>
          <w:p w14:paraId="75409A90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739" w:type="pct"/>
            <w:tcBorders>
              <w:bottom w:val="single" w:sz="4" w:space="0" w:color="000000"/>
              <w:tl2br w:val="nil"/>
              <w:tr2bl w:val="nil"/>
            </w:tcBorders>
            <w:noWrap/>
            <w:vAlign w:val="center"/>
          </w:tcPr>
          <w:p w14:paraId="4A767BA6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Unclear</w:t>
            </w:r>
          </w:p>
        </w:tc>
        <w:tc>
          <w:tcPr>
            <w:tcW w:w="1801" w:type="pct"/>
            <w:tcBorders>
              <w:bottom w:val="single" w:sz="4" w:space="0" w:color="000000"/>
              <w:tl2br w:val="nil"/>
              <w:tr2bl w:val="nil"/>
            </w:tcBorders>
            <w:noWrap/>
            <w:vAlign w:val="center"/>
          </w:tcPr>
          <w:p w14:paraId="3E727A87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Stimulation status unclear; composite reference; follow-up details limited</w:t>
            </w:r>
          </w:p>
        </w:tc>
      </w:tr>
    </w:tbl>
    <w:p w14:paraId="70B4628E" w14:textId="77777777" w:rsidR="0038714A" w:rsidRDefault="0038714A" w:rsidP="0038714A"/>
    <w:p w14:paraId="5335E05D" w14:textId="77777777" w:rsidR="0038714A" w:rsidRDefault="0038714A" w:rsidP="0038714A"/>
    <w:p w14:paraId="54ED3683" w14:textId="2F392BC4" w:rsidR="0038714A" w:rsidRDefault="0038714A" w:rsidP="0038714A">
      <w:pPr>
        <w:spacing w:afterLines="50" w:after="156"/>
        <w:rPr>
          <w:rFonts w:ascii="Times New Roman Regular" w:hAnsi="Times New Roman Regular" w:cs="Times New Roman Regular"/>
        </w:rPr>
      </w:pPr>
      <w:r>
        <w:rPr>
          <w:rFonts w:ascii="Times New Roman Bold" w:hAnsi="Times New Roman Bold" w:cs="Times New Roman Bold"/>
          <w:b/>
          <w:bCs/>
        </w:rPr>
        <w:t>Supplementary Table 2.</w:t>
      </w:r>
      <w:r>
        <w:rPr>
          <w:rFonts w:ascii="Times New Roman Regular" w:hAnsi="Times New Roman Regular" w:cs="Times New Roman Regular"/>
        </w:rPr>
        <w:t xml:space="preserve"> </w:t>
      </w:r>
      <w:proofErr w:type="spellStart"/>
      <w:r>
        <w:rPr>
          <w:rFonts w:ascii="Times New Roman Regular" w:hAnsi="Times New Roman Regular" w:cs="Times New Roman Regular"/>
        </w:rPr>
        <w:t>Tg</w:t>
      </w:r>
      <w:proofErr w:type="spellEnd"/>
      <w:r>
        <w:rPr>
          <w:rFonts w:ascii="Times New Roman Regular" w:hAnsi="Times New Roman Regular" w:cs="Times New Roman Regular"/>
        </w:rPr>
        <w:t>-stratified detection.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1738"/>
        <w:gridCol w:w="1103"/>
        <w:gridCol w:w="3074"/>
        <w:gridCol w:w="730"/>
        <w:gridCol w:w="924"/>
        <w:gridCol w:w="732"/>
      </w:tblGrid>
      <w:tr w:rsidR="0038714A" w14:paraId="5FC5264E" w14:textId="77777777" w:rsidTr="00983F51">
        <w:trPr>
          <w:trHeight w:val="336"/>
        </w:trPr>
        <w:tc>
          <w:tcPr>
            <w:tcW w:w="870" w:type="pct"/>
            <w:tcBorders>
              <w:top w:val="single" w:sz="4" w:space="0" w:color="000000"/>
              <w:bottom w:val="single" w:sz="4" w:space="0" w:color="000000"/>
              <w:tl2br w:val="nil"/>
              <w:tr2bl w:val="nil"/>
            </w:tcBorders>
            <w:noWrap/>
          </w:tcPr>
          <w:p w14:paraId="2B511A8E" w14:textId="77777777" w:rsidR="0038714A" w:rsidRDefault="0038714A" w:rsidP="00983F51">
            <w:pPr>
              <w:widowControl/>
              <w:jc w:val="center"/>
              <w:textAlignment w:val="top"/>
              <w:rPr>
                <w:rFonts w:ascii="Times New Roman Bold" w:eastAsia="宋体" w:hAnsi="Times New Roman Bold" w:cs="Times New Roman Bold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Bold" w:eastAsia="宋体" w:hAnsi="Times New Roman Bold" w:cs="Times New Roman Bold"/>
                <w:b/>
                <w:bCs/>
                <w:color w:val="000000"/>
                <w:kern w:val="0"/>
                <w:sz w:val="18"/>
                <w:szCs w:val="18"/>
              </w:rPr>
              <w:t>StudyID</w:t>
            </w:r>
            <w:proofErr w:type="spellEnd"/>
          </w:p>
        </w:tc>
        <w:tc>
          <w:tcPr>
            <w:tcW w:w="712" w:type="pct"/>
            <w:tcBorders>
              <w:top w:val="single" w:sz="4" w:space="0" w:color="000000"/>
              <w:bottom w:val="single" w:sz="4" w:space="0" w:color="000000"/>
              <w:tl2br w:val="nil"/>
              <w:tr2bl w:val="nil"/>
            </w:tcBorders>
            <w:noWrap/>
          </w:tcPr>
          <w:p w14:paraId="617480B1" w14:textId="77777777" w:rsidR="0038714A" w:rsidRDefault="0038714A" w:rsidP="00983F51">
            <w:pPr>
              <w:widowControl/>
              <w:jc w:val="center"/>
              <w:textAlignment w:val="top"/>
              <w:rPr>
                <w:rFonts w:ascii="Times New Roman Bold" w:eastAsia="宋体" w:hAnsi="Times New Roman Bold" w:cs="Times New Roman Bold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Bold" w:eastAsia="宋体" w:hAnsi="Times New Roman Bold" w:cs="Times New Roman Bold"/>
                <w:b/>
                <w:bCs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Bold" w:eastAsia="宋体" w:hAnsi="Times New Roman Bold" w:cs="Times New Roman Bold"/>
                <w:b/>
                <w:bCs/>
                <w:color w:val="000000"/>
                <w:kern w:val="0"/>
                <w:sz w:val="18"/>
                <w:szCs w:val="18"/>
              </w:rPr>
              <w:t xml:space="preserve"> status</w:t>
            </w:r>
          </w:p>
        </w:tc>
        <w:tc>
          <w:tcPr>
            <w:tcW w:w="1898" w:type="pct"/>
            <w:tcBorders>
              <w:top w:val="single" w:sz="4" w:space="0" w:color="000000"/>
              <w:bottom w:val="single" w:sz="4" w:space="0" w:color="000000"/>
              <w:tl2br w:val="nil"/>
              <w:tr2bl w:val="nil"/>
            </w:tcBorders>
            <w:noWrap/>
          </w:tcPr>
          <w:p w14:paraId="4D79EE9A" w14:textId="77777777" w:rsidR="0038714A" w:rsidRDefault="0038714A" w:rsidP="00983F51">
            <w:pPr>
              <w:widowControl/>
              <w:jc w:val="center"/>
              <w:textAlignment w:val="top"/>
              <w:rPr>
                <w:rFonts w:ascii="Times New Roman Bold" w:eastAsia="宋体" w:hAnsi="Times New Roman Bold" w:cs="Times New Roman Bold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Bold" w:eastAsia="宋体" w:hAnsi="Times New Roman Bold" w:cs="Times New Roman Bold"/>
                <w:b/>
                <w:bCs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Bold" w:eastAsia="宋体" w:hAnsi="Times New Roman Bold" w:cs="Times New Roman Bold"/>
                <w:b/>
                <w:bCs/>
                <w:color w:val="000000"/>
                <w:kern w:val="0"/>
                <w:sz w:val="18"/>
                <w:szCs w:val="18"/>
              </w:rPr>
              <w:t xml:space="preserve"> stratum (as reported)</w:t>
            </w:r>
          </w:p>
        </w:tc>
        <w:tc>
          <w:tcPr>
            <w:tcW w:w="487" w:type="pct"/>
            <w:tcBorders>
              <w:top w:val="single" w:sz="4" w:space="0" w:color="000000"/>
              <w:bottom w:val="single" w:sz="4" w:space="0" w:color="000000"/>
              <w:tl2br w:val="nil"/>
              <w:tr2bl w:val="nil"/>
            </w:tcBorders>
            <w:noWrap/>
          </w:tcPr>
          <w:p w14:paraId="59C35DCA" w14:textId="77777777" w:rsidR="0038714A" w:rsidRDefault="0038714A" w:rsidP="00983F51">
            <w:pPr>
              <w:widowControl/>
              <w:jc w:val="center"/>
              <w:textAlignment w:val="top"/>
              <w:rPr>
                <w:rFonts w:ascii="Times New Roman Bold" w:eastAsia="宋体" w:hAnsi="Times New Roman Bold" w:cs="Times New Roman 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 Bold" w:eastAsia="宋体" w:hAnsi="Times New Roman Bold" w:cs="Times New Roman Bold"/>
                <w:b/>
                <w:bCs/>
                <w:color w:val="000000"/>
                <w:kern w:val="0"/>
                <w:sz w:val="18"/>
                <w:szCs w:val="18"/>
              </w:rPr>
              <w:t>n</w:t>
            </w:r>
          </w:p>
        </w:tc>
        <w:tc>
          <w:tcPr>
            <w:tcW w:w="542" w:type="pct"/>
            <w:tcBorders>
              <w:top w:val="single" w:sz="4" w:space="0" w:color="000000"/>
              <w:bottom w:val="single" w:sz="4" w:space="0" w:color="000000"/>
              <w:tl2br w:val="nil"/>
              <w:tr2bl w:val="nil"/>
            </w:tcBorders>
            <w:noWrap/>
          </w:tcPr>
          <w:p w14:paraId="36F1F20A" w14:textId="77777777" w:rsidR="0038714A" w:rsidRDefault="0038714A" w:rsidP="00983F51">
            <w:pPr>
              <w:widowControl/>
              <w:jc w:val="center"/>
              <w:textAlignment w:val="top"/>
              <w:rPr>
                <w:rFonts w:ascii="Times New Roman Bold" w:eastAsia="宋体" w:hAnsi="Times New Roman Bold" w:cs="Times New Roman 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 Bold" w:eastAsia="宋体" w:hAnsi="Times New Roman Bold" w:cs="Times New Roman Bold"/>
                <w:b/>
                <w:bCs/>
                <w:color w:val="000000"/>
                <w:kern w:val="0"/>
                <w:sz w:val="18"/>
                <w:szCs w:val="18"/>
              </w:rPr>
              <w:t>PET+ (x)</w:t>
            </w:r>
          </w:p>
        </w:tc>
        <w:tc>
          <w:tcPr>
            <w:tcW w:w="488" w:type="pct"/>
            <w:tcBorders>
              <w:top w:val="single" w:sz="4" w:space="0" w:color="000000"/>
              <w:bottom w:val="single" w:sz="4" w:space="0" w:color="000000"/>
              <w:tl2br w:val="nil"/>
              <w:tr2bl w:val="nil"/>
            </w:tcBorders>
            <w:noWrap/>
          </w:tcPr>
          <w:p w14:paraId="7ADF336F" w14:textId="77777777" w:rsidR="0038714A" w:rsidRDefault="0038714A" w:rsidP="00983F51">
            <w:pPr>
              <w:widowControl/>
              <w:jc w:val="center"/>
              <w:textAlignment w:val="top"/>
              <w:rPr>
                <w:rFonts w:ascii="Times New Roman Bold" w:eastAsia="宋体" w:hAnsi="Times New Roman Bold" w:cs="Times New Roman 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 Bold" w:eastAsia="宋体" w:hAnsi="Times New Roman Bold" w:cs="Times New Roman Bold"/>
                <w:b/>
                <w:bCs/>
                <w:color w:val="000000"/>
                <w:kern w:val="0"/>
                <w:sz w:val="18"/>
                <w:szCs w:val="18"/>
              </w:rPr>
              <w:t>Unit</w:t>
            </w:r>
          </w:p>
        </w:tc>
      </w:tr>
      <w:tr w:rsidR="0038714A" w14:paraId="53CB32C9" w14:textId="77777777" w:rsidTr="00983F51">
        <w:trPr>
          <w:trHeight w:val="336"/>
        </w:trPr>
        <w:tc>
          <w:tcPr>
            <w:tcW w:w="870" w:type="pct"/>
            <w:tcBorders>
              <w:top w:val="single" w:sz="4" w:space="0" w:color="000000"/>
              <w:tl2br w:val="nil"/>
              <w:tr2bl w:val="nil"/>
            </w:tcBorders>
            <w:noWrap/>
            <w:vAlign w:val="bottom"/>
          </w:tcPr>
          <w:p w14:paraId="295B5747" w14:textId="51E966D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Trybek_2014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[1]</w:t>
            </w:r>
          </w:p>
        </w:tc>
        <w:tc>
          <w:tcPr>
            <w:tcW w:w="712" w:type="pct"/>
            <w:tcBorders>
              <w:top w:val="single" w:sz="4" w:space="0" w:color="000000"/>
              <w:tl2br w:val="nil"/>
              <w:tr2bl w:val="nil"/>
            </w:tcBorders>
            <w:noWrap/>
            <w:vAlign w:val="bottom"/>
          </w:tcPr>
          <w:p w14:paraId="30300993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Stimulated</w:t>
            </w:r>
          </w:p>
        </w:tc>
        <w:tc>
          <w:tcPr>
            <w:tcW w:w="1898" w:type="pct"/>
            <w:tcBorders>
              <w:top w:val="single" w:sz="4" w:space="0" w:color="000000"/>
              <w:tl2br w:val="nil"/>
              <w:tr2bl w:val="nil"/>
            </w:tcBorders>
            <w:noWrap/>
            <w:vAlign w:val="bottom"/>
          </w:tcPr>
          <w:p w14:paraId="3DEC0A85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 xml:space="preserve"> &gt; 28.5 ng/mL</w:t>
            </w:r>
          </w:p>
        </w:tc>
        <w:tc>
          <w:tcPr>
            <w:tcW w:w="487" w:type="pct"/>
            <w:tcBorders>
              <w:top w:val="single" w:sz="4" w:space="0" w:color="000000"/>
              <w:tl2br w:val="nil"/>
              <w:tr2bl w:val="nil"/>
            </w:tcBorders>
            <w:noWrap/>
            <w:vAlign w:val="bottom"/>
          </w:tcPr>
          <w:p w14:paraId="235C5A0C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42" w:type="pct"/>
            <w:tcBorders>
              <w:top w:val="single" w:sz="4" w:space="0" w:color="000000"/>
              <w:tl2br w:val="nil"/>
              <w:tr2bl w:val="nil"/>
            </w:tcBorders>
            <w:noWrap/>
            <w:vAlign w:val="bottom"/>
          </w:tcPr>
          <w:p w14:paraId="28F74E03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88" w:type="pct"/>
            <w:tcBorders>
              <w:top w:val="single" w:sz="4" w:space="0" w:color="000000"/>
              <w:tl2br w:val="nil"/>
              <w:tr2bl w:val="nil"/>
            </w:tcBorders>
            <w:noWrap/>
            <w:vAlign w:val="bottom"/>
          </w:tcPr>
          <w:p w14:paraId="32787FCA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Patient</w:t>
            </w:r>
          </w:p>
        </w:tc>
      </w:tr>
      <w:tr w:rsidR="0038714A" w14:paraId="5087AD67" w14:textId="77777777" w:rsidTr="00983F51">
        <w:trPr>
          <w:trHeight w:val="336"/>
        </w:trPr>
        <w:tc>
          <w:tcPr>
            <w:tcW w:w="870" w:type="pct"/>
            <w:tcBorders>
              <w:tl2br w:val="nil"/>
              <w:tr2bl w:val="nil"/>
            </w:tcBorders>
            <w:noWrap/>
            <w:vAlign w:val="bottom"/>
          </w:tcPr>
          <w:p w14:paraId="35683105" w14:textId="021B31EE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Trybek_2014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[1]</w:t>
            </w:r>
          </w:p>
        </w:tc>
        <w:tc>
          <w:tcPr>
            <w:tcW w:w="712" w:type="pct"/>
            <w:tcBorders>
              <w:tl2br w:val="nil"/>
              <w:tr2bl w:val="nil"/>
            </w:tcBorders>
            <w:noWrap/>
            <w:vAlign w:val="bottom"/>
          </w:tcPr>
          <w:p w14:paraId="792D6B26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Stimulated</w:t>
            </w:r>
          </w:p>
        </w:tc>
        <w:tc>
          <w:tcPr>
            <w:tcW w:w="1898" w:type="pct"/>
            <w:tcBorders>
              <w:tl2br w:val="nil"/>
              <w:tr2bl w:val="nil"/>
            </w:tcBorders>
            <w:noWrap/>
            <w:vAlign w:val="bottom"/>
          </w:tcPr>
          <w:p w14:paraId="5E7484F1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 xml:space="preserve"> ≤ 28.5 ng/mL</w:t>
            </w:r>
          </w:p>
        </w:tc>
        <w:tc>
          <w:tcPr>
            <w:tcW w:w="487" w:type="pct"/>
            <w:tcBorders>
              <w:tl2br w:val="nil"/>
              <w:tr2bl w:val="nil"/>
            </w:tcBorders>
            <w:noWrap/>
            <w:vAlign w:val="bottom"/>
          </w:tcPr>
          <w:p w14:paraId="371D005F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542" w:type="pct"/>
            <w:tcBorders>
              <w:tl2br w:val="nil"/>
              <w:tr2bl w:val="nil"/>
            </w:tcBorders>
            <w:noWrap/>
            <w:vAlign w:val="bottom"/>
          </w:tcPr>
          <w:p w14:paraId="6EA408C9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8" w:type="pct"/>
            <w:tcBorders>
              <w:tl2br w:val="nil"/>
              <w:tr2bl w:val="nil"/>
            </w:tcBorders>
            <w:noWrap/>
            <w:vAlign w:val="bottom"/>
          </w:tcPr>
          <w:p w14:paraId="25F203C7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Patient</w:t>
            </w:r>
          </w:p>
        </w:tc>
      </w:tr>
      <w:tr w:rsidR="0038714A" w14:paraId="2DC9CE66" w14:textId="77777777" w:rsidTr="00983F51">
        <w:trPr>
          <w:trHeight w:val="336"/>
        </w:trPr>
        <w:tc>
          <w:tcPr>
            <w:tcW w:w="870" w:type="pct"/>
            <w:tcBorders>
              <w:tl2br w:val="nil"/>
              <w:tr2bl w:val="nil"/>
            </w:tcBorders>
            <w:noWrap/>
            <w:vAlign w:val="bottom"/>
          </w:tcPr>
          <w:p w14:paraId="00142688" w14:textId="55AB32FE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Boktor_2022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712" w:type="pct"/>
            <w:tcBorders>
              <w:tl2br w:val="nil"/>
              <w:tr2bl w:val="nil"/>
            </w:tcBorders>
            <w:noWrap/>
            <w:vAlign w:val="bottom"/>
          </w:tcPr>
          <w:p w14:paraId="2016E847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Stimulated</w:t>
            </w:r>
          </w:p>
        </w:tc>
        <w:tc>
          <w:tcPr>
            <w:tcW w:w="1898" w:type="pct"/>
            <w:tcBorders>
              <w:tl2br w:val="nil"/>
              <w:tr2bl w:val="nil"/>
            </w:tcBorders>
            <w:noWrap/>
            <w:vAlign w:val="bottom"/>
          </w:tcPr>
          <w:p w14:paraId="29D9C077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 xml:space="preserve"> &lt; 5 </w:t>
            </w: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pmol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/L (~&lt;2.22 ng/mL)</w:t>
            </w:r>
          </w:p>
        </w:tc>
        <w:tc>
          <w:tcPr>
            <w:tcW w:w="487" w:type="pct"/>
            <w:tcBorders>
              <w:tl2br w:val="nil"/>
              <w:tr2bl w:val="nil"/>
            </w:tcBorders>
            <w:noWrap/>
            <w:vAlign w:val="bottom"/>
          </w:tcPr>
          <w:p w14:paraId="21B96016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542" w:type="pct"/>
            <w:tcBorders>
              <w:tl2br w:val="nil"/>
              <w:tr2bl w:val="nil"/>
            </w:tcBorders>
            <w:noWrap/>
            <w:vAlign w:val="bottom"/>
          </w:tcPr>
          <w:p w14:paraId="5FA7F113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88" w:type="pct"/>
            <w:tcBorders>
              <w:tl2br w:val="nil"/>
              <w:tr2bl w:val="nil"/>
            </w:tcBorders>
            <w:noWrap/>
            <w:vAlign w:val="bottom"/>
          </w:tcPr>
          <w:p w14:paraId="48D851E0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Patient</w:t>
            </w:r>
          </w:p>
        </w:tc>
      </w:tr>
      <w:tr w:rsidR="0038714A" w14:paraId="66B265FD" w14:textId="77777777" w:rsidTr="00983F51">
        <w:trPr>
          <w:trHeight w:val="336"/>
        </w:trPr>
        <w:tc>
          <w:tcPr>
            <w:tcW w:w="870" w:type="pct"/>
            <w:tcBorders>
              <w:tl2br w:val="nil"/>
              <w:tr2bl w:val="nil"/>
            </w:tcBorders>
            <w:noWrap/>
            <w:vAlign w:val="bottom"/>
          </w:tcPr>
          <w:p w14:paraId="31FFF898" w14:textId="02BCD5E6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Boktor_2022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712" w:type="pct"/>
            <w:tcBorders>
              <w:tl2br w:val="nil"/>
              <w:tr2bl w:val="nil"/>
            </w:tcBorders>
            <w:noWrap/>
            <w:vAlign w:val="bottom"/>
          </w:tcPr>
          <w:p w14:paraId="43F0BB61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Stimulated</w:t>
            </w:r>
          </w:p>
        </w:tc>
        <w:tc>
          <w:tcPr>
            <w:tcW w:w="1898" w:type="pct"/>
            <w:tcBorders>
              <w:tl2br w:val="nil"/>
              <w:tr2bl w:val="nil"/>
            </w:tcBorders>
            <w:noWrap/>
            <w:vAlign w:val="bottom"/>
          </w:tcPr>
          <w:p w14:paraId="0551621E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 xml:space="preserve"> 5–10 </w:t>
            </w: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pmol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/L (~2.22–4.44 ng/mL)</w:t>
            </w:r>
          </w:p>
        </w:tc>
        <w:tc>
          <w:tcPr>
            <w:tcW w:w="487" w:type="pct"/>
            <w:tcBorders>
              <w:tl2br w:val="nil"/>
              <w:tr2bl w:val="nil"/>
            </w:tcBorders>
            <w:noWrap/>
            <w:vAlign w:val="bottom"/>
          </w:tcPr>
          <w:p w14:paraId="1E2DBF44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42" w:type="pct"/>
            <w:tcBorders>
              <w:tl2br w:val="nil"/>
              <w:tr2bl w:val="nil"/>
            </w:tcBorders>
            <w:noWrap/>
            <w:vAlign w:val="bottom"/>
          </w:tcPr>
          <w:p w14:paraId="5C0F472D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88" w:type="pct"/>
            <w:tcBorders>
              <w:tl2br w:val="nil"/>
              <w:tr2bl w:val="nil"/>
            </w:tcBorders>
            <w:noWrap/>
            <w:vAlign w:val="bottom"/>
          </w:tcPr>
          <w:p w14:paraId="512A8162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Patient</w:t>
            </w:r>
          </w:p>
        </w:tc>
      </w:tr>
      <w:tr w:rsidR="0038714A" w14:paraId="63516623" w14:textId="77777777" w:rsidTr="00983F51">
        <w:trPr>
          <w:trHeight w:val="336"/>
        </w:trPr>
        <w:tc>
          <w:tcPr>
            <w:tcW w:w="870" w:type="pct"/>
            <w:tcBorders>
              <w:tl2br w:val="nil"/>
              <w:tr2bl w:val="nil"/>
            </w:tcBorders>
            <w:noWrap/>
            <w:vAlign w:val="bottom"/>
          </w:tcPr>
          <w:p w14:paraId="64FF8F7F" w14:textId="74E62E49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Boktor_2022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712" w:type="pct"/>
            <w:tcBorders>
              <w:tl2br w:val="nil"/>
              <w:tr2bl w:val="nil"/>
            </w:tcBorders>
            <w:noWrap/>
            <w:vAlign w:val="bottom"/>
          </w:tcPr>
          <w:p w14:paraId="3B30ED41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Stimulated</w:t>
            </w:r>
          </w:p>
        </w:tc>
        <w:tc>
          <w:tcPr>
            <w:tcW w:w="1898" w:type="pct"/>
            <w:tcBorders>
              <w:tl2br w:val="nil"/>
              <w:tr2bl w:val="nil"/>
            </w:tcBorders>
            <w:noWrap/>
            <w:vAlign w:val="bottom"/>
          </w:tcPr>
          <w:p w14:paraId="5F0AA297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 xml:space="preserve"> &gt; 10 </w:t>
            </w: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pmol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/L (~&gt;4.44 ng/mL)</w:t>
            </w:r>
          </w:p>
        </w:tc>
        <w:tc>
          <w:tcPr>
            <w:tcW w:w="487" w:type="pct"/>
            <w:tcBorders>
              <w:tl2br w:val="nil"/>
              <w:tr2bl w:val="nil"/>
            </w:tcBorders>
            <w:noWrap/>
            <w:vAlign w:val="bottom"/>
          </w:tcPr>
          <w:p w14:paraId="360C5BBD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542" w:type="pct"/>
            <w:tcBorders>
              <w:tl2br w:val="nil"/>
              <w:tr2bl w:val="nil"/>
            </w:tcBorders>
            <w:noWrap/>
            <w:vAlign w:val="bottom"/>
          </w:tcPr>
          <w:p w14:paraId="1328362F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488" w:type="pct"/>
            <w:tcBorders>
              <w:tl2br w:val="nil"/>
              <w:tr2bl w:val="nil"/>
            </w:tcBorders>
            <w:noWrap/>
            <w:vAlign w:val="bottom"/>
          </w:tcPr>
          <w:p w14:paraId="08B3585C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Patient</w:t>
            </w:r>
          </w:p>
        </w:tc>
      </w:tr>
      <w:tr w:rsidR="0038714A" w14:paraId="2C13F6B7" w14:textId="77777777" w:rsidTr="00983F51">
        <w:trPr>
          <w:trHeight w:val="336"/>
        </w:trPr>
        <w:tc>
          <w:tcPr>
            <w:tcW w:w="870" w:type="pct"/>
            <w:tcBorders>
              <w:tl2br w:val="nil"/>
              <w:tr2bl w:val="nil"/>
            </w:tcBorders>
            <w:noWrap/>
            <w:vAlign w:val="bottom"/>
          </w:tcPr>
          <w:p w14:paraId="44C826B4" w14:textId="0B057AB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Filippi_2021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712" w:type="pct"/>
            <w:tcBorders>
              <w:tl2br w:val="nil"/>
              <w:tr2bl w:val="nil"/>
            </w:tcBorders>
            <w:noWrap/>
            <w:vAlign w:val="bottom"/>
          </w:tcPr>
          <w:p w14:paraId="4D81A700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Stimulated</w:t>
            </w:r>
          </w:p>
        </w:tc>
        <w:tc>
          <w:tcPr>
            <w:tcW w:w="1898" w:type="pct"/>
            <w:tcBorders>
              <w:tl2br w:val="nil"/>
              <w:tr2bl w:val="nil"/>
            </w:tcBorders>
            <w:noWrap/>
            <w:vAlign w:val="bottom"/>
          </w:tcPr>
          <w:p w14:paraId="01F07C27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 xml:space="preserve"> &gt; 10 ng/mL</w:t>
            </w:r>
          </w:p>
        </w:tc>
        <w:tc>
          <w:tcPr>
            <w:tcW w:w="487" w:type="pct"/>
            <w:tcBorders>
              <w:tl2br w:val="nil"/>
              <w:tr2bl w:val="nil"/>
            </w:tcBorders>
            <w:noWrap/>
            <w:vAlign w:val="bottom"/>
          </w:tcPr>
          <w:p w14:paraId="01D78CC9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542" w:type="pct"/>
            <w:tcBorders>
              <w:tl2br w:val="nil"/>
              <w:tr2bl w:val="nil"/>
            </w:tcBorders>
            <w:noWrap/>
            <w:vAlign w:val="bottom"/>
          </w:tcPr>
          <w:p w14:paraId="4540995E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488" w:type="pct"/>
            <w:tcBorders>
              <w:tl2br w:val="nil"/>
              <w:tr2bl w:val="nil"/>
            </w:tcBorders>
            <w:noWrap/>
            <w:vAlign w:val="bottom"/>
          </w:tcPr>
          <w:p w14:paraId="5A488B47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Patient</w:t>
            </w:r>
          </w:p>
        </w:tc>
      </w:tr>
      <w:tr w:rsidR="0038714A" w14:paraId="3BB387C5" w14:textId="77777777" w:rsidTr="00983F51">
        <w:trPr>
          <w:trHeight w:val="336"/>
        </w:trPr>
        <w:tc>
          <w:tcPr>
            <w:tcW w:w="870" w:type="pct"/>
            <w:tcBorders>
              <w:tl2br w:val="nil"/>
              <w:tr2bl w:val="nil"/>
            </w:tcBorders>
            <w:noWrap/>
            <w:vAlign w:val="bottom"/>
          </w:tcPr>
          <w:p w14:paraId="14EC8EBE" w14:textId="244AC65C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Filippi_2021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712" w:type="pct"/>
            <w:tcBorders>
              <w:tl2br w:val="nil"/>
              <w:tr2bl w:val="nil"/>
            </w:tcBorders>
            <w:noWrap/>
            <w:vAlign w:val="bottom"/>
          </w:tcPr>
          <w:p w14:paraId="522CD4B5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Stimulated</w:t>
            </w:r>
          </w:p>
        </w:tc>
        <w:tc>
          <w:tcPr>
            <w:tcW w:w="1898" w:type="pct"/>
            <w:tcBorders>
              <w:tl2br w:val="nil"/>
              <w:tr2bl w:val="nil"/>
            </w:tcBorders>
            <w:noWrap/>
            <w:vAlign w:val="bottom"/>
          </w:tcPr>
          <w:p w14:paraId="1CE8FAC0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 xml:space="preserve"> ≤ 10 ng/mL (+ suspicious imaging)</w:t>
            </w:r>
          </w:p>
        </w:tc>
        <w:tc>
          <w:tcPr>
            <w:tcW w:w="487" w:type="pct"/>
            <w:tcBorders>
              <w:tl2br w:val="nil"/>
              <w:tr2bl w:val="nil"/>
            </w:tcBorders>
            <w:noWrap/>
            <w:vAlign w:val="bottom"/>
          </w:tcPr>
          <w:p w14:paraId="30E846CE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542" w:type="pct"/>
            <w:tcBorders>
              <w:tl2br w:val="nil"/>
              <w:tr2bl w:val="nil"/>
            </w:tcBorders>
            <w:noWrap/>
            <w:vAlign w:val="bottom"/>
          </w:tcPr>
          <w:p w14:paraId="59F1295F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488" w:type="pct"/>
            <w:tcBorders>
              <w:tl2br w:val="nil"/>
              <w:tr2bl w:val="nil"/>
            </w:tcBorders>
            <w:noWrap/>
            <w:vAlign w:val="bottom"/>
          </w:tcPr>
          <w:p w14:paraId="13CD07DE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Patient</w:t>
            </w:r>
          </w:p>
        </w:tc>
      </w:tr>
      <w:tr w:rsidR="0038714A" w14:paraId="098D87A3" w14:textId="77777777" w:rsidTr="00983F51">
        <w:trPr>
          <w:trHeight w:val="336"/>
        </w:trPr>
        <w:tc>
          <w:tcPr>
            <w:tcW w:w="870" w:type="pct"/>
            <w:tcBorders>
              <w:tl2br w:val="nil"/>
              <w:tr2bl w:val="nil"/>
            </w:tcBorders>
            <w:noWrap/>
            <w:vAlign w:val="bottom"/>
          </w:tcPr>
          <w:p w14:paraId="716C6C47" w14:textId="53F95319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Albano_2021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712" w:type="pct"/>
            <w:tcBorders>
              <w:tl2br w:val="nil"/>
              <w:tr2bl w:val="nil"/>
            </w:tcBorders>
            <w:noWrap/>
            <w:vAlign w:val="bottom"/>
          </w:tcPr>
          <w:p w14:paraId="6782C638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Stimulated</w:t>
            </w:r>
          </w:p>
        </w:tc>
        <w:tc>
          <w:tcPr>
            <w:tcW w:w="1898" w:type="pct"/>
            <w:tcBorders>
              <w:tl2br w:val="nil"/>
              <w:tr2bl w:val="nil"/>
            </w:tcBorders>
            <w:noWrap/>
            <w:vAlign w:val="bottom"/>
          </w:tcPr>
          <w:p w14:paraId="1EFB37E0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 xml:space="preserve"> &lt; 18 ng/mL</w:t>
            </w:r>
          </w:p>
        </w:tc>
        <w:tc>
          <w:tcPr>
            <w:tcW w:w="487" w:type="pct"/>
            <w:tcBorders>
              <w:tl2br w:val="nil"/>
              <w:tr2bl w:val="nil"/>
            </w:tcBorders>
            <w:noWrap/>
            <w:vAlign w:val="bottom"/>
          </w:tcPr>
          <w:p w14:paraId="269B4493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542" w:type="pct"/>
            <w:tcBorders>
              <w:tl2br w:val="nil"/>
              <w:tr2bl w:val="nil"/>
            </w:tcBorders>
            <w:noWrap/>
            <w:vAlign w:val="bottom"/>
          </w:tcPr>
          <w:p w14:paraId="2DA277B9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488" w:type="pct"/>
            <w:tcBorders>
              <w:tl2br w:val="nil"/>
              <w:tr2bl w:val="nil"/>
            </w:tcBorders>
            <w:noWrap/>
            <w:vAlign w:val="bottom"/>
          </w:tcPr>
          <w:p w14:paraId="4CD7B026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Patient</w:t>
            </w:r>
          </w:p>
        </w:tc>
      </w:tr>
      <w:tr w:rsidR="0038714A" w14:paraId="74FF50A2" w14:textId="77777777" w:rsidTr="00983F51">
        <w:trPr>
          <w:trHeight w:val="336"/>
        </w:trPr>
        <w:tc>
          <w:tcPr>
            <w:tcW w:w="870" w:type="pct"/>
            <w:tcBorders>
              <w:tl2br w:val="nil"/>
              <w:tr2bl w:val="nil"/>
            </w:tcBorders>
            <w:noWrap/>
            <w:vAlign w:val="bottom"/>
          </w:tcPr>
          <w:p w14:paraId="159925ED" w14:textId="56ECFA18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Albano_2021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712" w:type="pct"/>
            <w:tcBorders>
              <w:tl2br w:val="nil"/>
              <w:tr2bl w:val="nil"/>
            </w:tcBorders>
            <w:noWrap/>
            <w:vAlign w:val="bottom"/>
          </w:tcPr>
          <w:p w14:paraId="2F50A0EF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Stimulated</w:t>
            </w:r>
          </w:p>
        </w:tc>
        <w:tc>
          <w:tcPr>
            <w:tcW w:w="1898" w:type="pct"/>
            <w:tcBorders>
              <w:tl2br w:val="nil"/>
              <w:tr2bl w:val="nil"/>
            </w:tcBorders>
            <w:noWrap/>
            <w:vAlign w:val="bottom"/>
          </w:tcPr>
          <w:p w14:paraId="433AAE44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 xml:space="preserve"> ≥ 18 ng/mL</w:t>
            </w:r>
          </w:p>
        </w:tc>
        <w:tc>
          <w:tcPr>
            <w:tcW w:w="487" w:type="pct"/>
            <w:tcBorders>
              <w:tl2br w:val="nil"/>
              <w:tr2bl w:val="nil"/>
            </w:tcBorders>
            <w:noWrap/>
            <w:vAlign w:val="bottom"/>
          </w:tcPr>
          <w:p w14:paraId="3D3C3E72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542" w:type="pct"/>
            <w:tcBorders>
              <w:tl2br w:val="nil"/>
              <w:tr2bl w:val="nil"/>
            </w:tcBorders>
            <w:noWrap/>
            <w:vAlign w:val="bottom"/>
          </w:tcPr>
          <w:p w14:paraId="4B3469CA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488" w:type="pct"/>
            <w:tcBorders>
              <w:tl2br w:val="nil"/>
              <w:tr2bl w:val="nil"/>
            </w:tcBorders>
            <w:noWrap/>
            <w:vAlign w:val="bottom"/>
          </w:tcPr>
          <w:p w14:paraId="34CB4413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Patient</w:t>
            </w:r>
          </w:p>
        </w:tc>
      </w:tr>
      <w:tr w:rsidR="0038714A" w14:paraId="313B4BE1" w14:textId="77777777" w:rsidTr="00983F51">
        <w:trPr>
          <w:trHeight w:val="336"/>
        </w:trPr>
        <w:tc>
          <w:tcPr>
            <w:tcW w:w="870" w:type="pct"/>
            <w:tcBorders>
              <w:tl2br w:val="nil"/>
              <w:tr2bl w:val="nil"/>
            </w:tcBorders>
            <w:noWrap/>
            <w:vAlign w:val="bottom"/>
          </w:tcPr>
          <w:p w14:paraId="01C55EDA" w14:textId="1A794155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Choi_2016 (</w:t>
            </w: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+)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712" w:type="pct"/>
            <w:tcBorders>
              <w:tl2br w:val="nil"/>
              <w:tr2bl w:val="nil"/>
            </w:tcBorders>
            <w:noWrap/>
            <w:vAlign w:val="bottom"/>
          </w:tcPr>
          <w:p w14:paraId="0BD47863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Stimulated</w:t>
            </w:r>
          </w:p>
        </w:tc>
        <w:tc>
          <w:tcPr>
            <w:tcW w:w="1898" w:type="pct"/>
            <w:tcBorders>
              <w:tl2br w:val="nil"/>
              <w:tr2bl w:val="nil"/>
            </w:tcBorders>
            <w:noWrap/>
            <w:vAlign w:val="bottom"/>
          </w:tcPr>
          <w:p w14:paraId="711B215E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 xml:space="preserve"> 2–10 ng/mL</w:t>
            </w:r>
          </w:p>
        </w:tc>
        <w:tc>
          <w:tcPr>
            <w:tcW w:w="487" w:type="pct"/>
            <w:tcBorders>
              <w:tl2br w:val="nil"/>
              <w:tr2bl w:val="nil"/>
            </w:tcBorders>
            <w:noWrap/>
            <w:vAlign w:val="bottom"/>
          </w:tcPr>
          <w:p w14:paraId="38DBF4D9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542" w:type="pct"/>
            <w:tcBorders>
              <w:tl2br w:val="nil"/>
              <w:tr2bl w:val="nil"/>
            </w:tcBorders>
            <w:noWrap/>
            <w:vAlign w:val="bottom"/>
          </w:tcPr>
          <w:p w14:paraId="694CEE23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88" w:type="pct"/>
            <w:tcBorders>
              <w:tl2br w:val="nil"/>
              <w:tr2bl w:val="nil"/>
            </w:tcBorders>
            <w:noWrap/>
            <w:vAlign w:val="bottom"/>
          </w:tcPr>
          <w:p w14:paraId="4758B597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Patient</w:t>
            </w:r>
          </w:p>
        </w:tc>
      </w:tr>
      <w:tr w:rsidR="0038714A" w14:paraId="5B71E865" w14:textId="77777777" w:rsidTr="00983F51">
        <w:trPr>
          <w:trHeight w:val="336"/>
        </w:trPr>
        <w:tc>
          <w:tcPr>
            <w:tcW w:w="870" w:type="pct"/>
            <w:tcBorders>
              <w:bottom w:val="single" w:sz="4" w:space="0" w:color="000000"/>
              <w:tl2br w:val="nil"/>
              <w:tr2bl w:val="nil"/>
            </w:tcBorders>
            <w:noWrap/>
            <w:vAlign w:val="bottom"/>
          </w:tcPr>
          <w:p w14:paraId="4ADAD167" w14:textId="095114E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Choi_2016 (</w:t>
            </w: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+)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 xml:space="preserve"> [</w:t>
            </w:r>
            <w:r w:rsidR="002428F4"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Times New Roman Regular" w:eastAsia="宋体" w:hAnsi="Times New Roman Regular" w:cs="Times New Roman Regular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712" w:type="pct"/>
            <w:tcBorders>
              <w:bottom w:val="single" w:sz="4" w:space="0" w:color="000000"/>
              <w:tl2br w:val="nil"/>
              <w:tr2bl w:val="nil"/>
            </w:tcBorders>
            <w:noWrap/>
            <w:vAlign w:val="bottom"/>
          </w:tcPr>
          <w:p w14:paraId="47A02E04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Stimulated</w:t>
            </w:r>
          </w:p>
        </w:tc>
        <w:tc>
          <w:tcPr>
            <w:tcW w:w="1898" w:type="pct"/>
            <w:tcBorders>
              <w:bottom w:val="single" w:sz="4" w:space="0" w:color="000000"/>
              <w:tl2br w:val="nil"/>
              <w:tr2bl w:val="nil"/>
            </w:tcBorders>
            <w:noWrap/>
            <w:vAlign w:val="bottom"/>
          </w:tcPr>
          <w:p w14:paraId="671221DF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Tg</w:t>
            </w:r>
            <w:proofErr w:type="spellEnd"/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 xml:space="preserve"> &gt; 10 ng/mL</w:t>
            </w:r>
          </w:p>
        </w:tc>
        <w:tc>
          <w:tcPr>
            <w:tcW w:w="487" w:type="pct"/>
            <w:tcBorders>
              <w:bottom w:val="single" w:sz="4" w:space="0" w:color="000000"/>
              <w:tl2br w:val="nil"/>
              <w:tr2bl w:val="nil"/>
            </w:tcBorders>
            <w:noWrap/>
            <w:vAlign w:val="bottom"/>
          </w:tcPr>
          <w:p w14:paraId="3DAA60B9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42" w:type="pct"/>
            <w:tcBorders>
              <w:bottom w:val="single" w:sz="4" w:space="0" w:color="000000"/>
              <w:tl2br w:val="nil"/>
              <w:tr2bl w:val="nil"/>
            </w:tcBorders>
            <w:noWrap/>
            <w:vAlign w:val="bottom"/>
          </w:tcPr>
          <w:p w14:paraId="4C4D6496" w14:textId="77777777" w:rsidR="0038714A" w:rsidRDefault="0038714A" w:rsidP="00983F51">
            <w:pPr>
              <w:widowControl/>
              <w:jc w:val="righ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488" w:type="pct"/>
            <w:tcBorders>
              <w:bottom w:val="single" w:sz="4" w:space="0" w:color="000000"/>
              <w:tl2br w:val="nil"/>
              <w:tr2bl w:val="nil"/>
            </w:tcBorders>
            <w:noWrap/>
            <w:vAlign w:val="bottom"/>
          </w:tcPr>
          <w:p w14:paraId="50189DFE" w14:textId="77777777" w:rsidR="0038714A" w:rsidRDefault="0038714A" w:rsidP="00983F51">
            <w:pPr>
              <w:widowControl/>
              <w:jc w:val="left"/>
              <w:textAlignment w:val="bottom"/>
              <w:rPr>
                <w:rFonts w:ascii="Times New Roman Regular" w:eastAsia="宋体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eastAsia="宋体" w:hAnsi="Times New Roman Regular" w:cs="Times New Roman Regular"/>
                <w:color w:val="000000"/>
                <w:kern w:val="0"/>
                <w:sz w:val="18"/>
                <w:szCs w:val="18"/>
              </w:rPr>
              <w:t>Patient</w:t>
            </w:r>
          </w:p>
        </w:tc>
      </w:tr>
    </w:tbl>
    <w:p w14:paraId="3BED63B3" w14:textId="77777777" w:rsidR="0038714A" w:rsidRPr="00715825" w:rsidRDefault="0038714A" w:rsidP="0038714A"/>
    <w:p w14:paraId="1A473EA2" w14:textId="77777777" w:rsidR="00B64E19" w:rsidRDefault="00B64E19" w:rsidP="00BC04A1">
      <w:pPr>
        <w:pStyle w:val="Figure"/>
        <w:rPr>
          <w:rFonts w:ascii="Times New Roman Bold" w:hAnsi="Times New Roman Bold" w:cs="Times New Roman Bold"/>
          <w:b/>
          <w:bCs/>
        </w:rPr>
      </w:pPr>
      <w:r>
        <w:rPr>
          <w:noProof/>
        </w:rPr>
        <w:lastRenderedPageBreak/>
        <w:drawing>
          <wp:inline distT="0" distB="0" distL="114300" distR="114300" wp14:anchorId="5EF2508C" wp14:editId="11090359">
            <wp:extent cx="5269865" cy="1572260"/>
            <wp:effectExtent l="0" t="0" r="13335" b="2540"/>
            <wp:docPr id="7" name="图片 7" descr="Figure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igure S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57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A7B75" w14:textId="77777777" w:rsidR="00B64E19" w:rsidRDefault="00B64E19" w:rsidP="00BC04A1">
      <w:pPr>
        <w:pStyle w:val="Figurecaption"/>
      </w:pPr>
      <w:r>
        <w:rPr>
          <w:rFonts w:ascii="Times New Roman Bold" w:hAnsi="Times New Roman Bold" w:cs="Times New Roman Bold"/>
          <w:b/>
          <w:bCs/>
        </w:rPr>
        <w:t>Supplementary Fig</w:t>
      </w:r>
      <w:r w:rsidR="00BC04A1" w:rsidRPr="00BC04A1">
        <w:rPr>
          <w:rFonts w:eastAsia="宋体"/>
          <w:b/>
          <w:bCs/>
          <w:lang w:eastAsia="zh-CN"/>
        </w:rPr>
        <w:t xml:space="preserve">. </w:t>
      </w:r>
      <w:r>
        <w:rPr>
          <w:rFonts w:ascii="Times New Roman Bold" w:hAnsi="Times New Roman Bold" w:cs="Times New Roman Bold"/>
          <w:b/>
          <w:bCs/>
        </w:rPr>
        <w:t>1.</w:t>
      </w:r>
      <w:r>
        <w:t xml:space="preserve"> </w:t>
      </w:r>
      <w:r w:rsidRPr="00BC04A1">
        <w:rPr>
          <w:b/>
        </w:rPr>
        <w:t xml:space="preserve">Forest plot of studies reporting stimulated </w:t>
      </w:r>
      <w:proofErr w:type="spellStart"/>
      <w:r w:rsidRPr="00BC04A1">
        <w:rPr>
          <w:b/>
        </w:rPr>
        <w:t>Tg</w:t>
      </w:r>
      <w:proofErr w:type="spellEnd"/>
      <w:r w:rsidRPr="00BC04A1">
        <w:rPr>
          <w:b/>
        </w:rPr>
        <w:t xml:space="preserve"> values at the time of PET/CT. </w:t>
      </w:r>
      <w:r>
        <w:t>Detection rates remain consistently high across cohorts.</w:t>
      </w:r>
    </w:p>
    <w:p w14:paraId="709F1097" w14:textId="77777777" w:rsidR="00BC04A1" w:rsidRDefault="00BC04A1" w:rsidP="00BC04A1">
      <w:pPr>
        <w:pStyle w:val="Figurecaption"/>
      </w:pPr>
    </w:p>
    <w:p w14:paraId="214C6FF0" w14:textId="77777777" w:rsidR="00BC04A1" w:rsidRDefault="00BC04A1" w:rsidP="00BC04A1">
      <w:pPr>
        <w:pStyle w:val="Figurecaption"/>
      </w:pPr>
    </w:p>
    <w:p w14:paraId="0C6F0010" w14:textId="77777777" w:rsidR="008E1027" w:rsidRDefault="008E1027" w:rsidP="00BC04A1">
      <w:pPr>
        <w:pStyle w:val="Figure"/>
      </w:pPr>
      <w:r>
        <w:rPr>
          <w:noProof/>
        </w:rPr>
        <w:drawing>
          <wp:inline distT="0" distB="0" distL="114300" distR="114300" wp14:anchorId="1F282F05" wp14:editId="63A092F4">
            <wp:extent cx="5269865" cy="5304790"/>
            <wp:effectExtent l="0" t="0" r="13335" b="3810"/>
            <wp:docPr id="8" name="图片 8" descr="Figure 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igure S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30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2304B" w14:textId="77777777" w:rsidR="008E1027" w:rsidRDefault="008E1027" w:rsidP="00BC04A1">
      <w:pPr>
        <w:pStyle w:val="Figurecaption"/>
      </w:pPr>
      <w:r>
        <w:rPr>
          <w:rFonts w:ascii="Times New Roman Bold" w:hAnsi="Times New Roman Bold" w:cs="Times New Roman Bold"/>
          <w:b/>
          <w:bCs/>
        </w:rPr>
        <w:t>Supplementary Fig</w:t>
      </w:r>
      <w:r w:rsidR="00BC04A1">
        <w:rPr>
          <w:rFonts w:ascii="Times New Roman Bold" w:hAnsi="Times New Roman Bold" w:cs="Times New Roman Bold"/>
          <w:b/>
          <w:bCs/>
        </w:rPr>
        <w:t xml:space="preserve">. </w:t>
      </w:r>
      <w:r>
        <w:rPr>
          <w:rFonts w:ascii="Times New Roman Bold" w:hAnsi="Times New Roman Bold" w:cs="Times New Roman Bold"/>
          <w:b/>
          <w:bCs/>
        </w:rPr>
        <w:t>2.</w:t>
      </w:r>
      <w:r>
        <w:t xml:space="preserve"> </w:t>
      </w:r>
      <w:r w:rsidRPr="00BC04A1">
        <w:rPr>
          <w:b/>
        </w:rPr>
        <w:t xml:space="preserve">Sensitivity analyses examining the influence of individual studies on the pooled PET/CT detection rate. </w:t>
      </w:r>
      <w:r>
        <w:t>Across all scenarios, detection rates yielded consistent results (0.55-0.60), confirming the robustness of the findings.</w:t>
      </w:r>
    </w:p>
    <w:p w14:paraId="66E375D9" w14:textId="7BD9A32B" w:rsidR="006373EF" w:rsidRDefault="006373EF">
      <w:pPr>
        <w:ind w:firstLine="420"/>
      </w:pPr>
    </w:p>
    <w:p w14:paraId="675598F0" w14:textId="77777777" w:rsidR="00345174" w:rsidRDefault="00345174">
      <w:pPr>
        <w:ind w:firstLine="420"/>
        <w:rPr>
          <w:rFonts w:hint="eastAsia"/>
        </w:rPr>
      </w:pPr>
    </w:p>
    <w:p w14:paraId="7D718A35" w14:textId="77777777" w:rsidR="002428F4" w:rsidRDefault="002428F4" w:rsidP="002428F4">
      <w:pPr>
        <w:pStyle w:val="Backmatter"/>
        <w:spacing w:before="156" w:after="156"/>
        <w:rPr>
          <w:rFonts w:eastAsiaTheme="minorEastAsia"/>
          <w:lang w:eastAsia="zh-CN"/>
        </w:rPr>
      </w:pPr>
      <w:r w:rsidRPr="007052FC">
        <w:lastRenderedPageBreak/>
        <w:t>References</w:t>
      </w:r>
    </w:p>
    <w:p w14:paraId="11FF78BC" w14:textId="6B960647" w:rsidR="002428F4" w:rsidRPr="007052FC" w:rsidRDefault="002428F4" w:rsidP="002428F4">
      <w:pPr>
        <w:pStyle w:val="Reference"/>
        <w:ind w:left="360" w:hanging="360"/>
        <w:rPr>
          <w:rFonts w:eastAsia="宋体"/>
          <w:color w:val="auto"/>
          <w:szCs w:val="18"/>
        </w:rPr>
      </w:pPr>
      <w:r w:rsidRPr="007052FC">
        <w:rPr>
          <w:rFonts w:eastAsia="宋体"/>
          <w:color w:val="auto"/>
          <w:szCs w:val="18"/>
        </w:rPr>
        <w:t xml:space="preserve">[1] </w:t>
      </w:r>
      <w:proofErr w:type="spellStart"/>
      <w:r w:rsidRPr="007052FC">
        <w:rPr>
          <w:rFonts w:eastAsia="宋体"/>
          <w:color w:val="auto"/>
          <w:szCs w:val="18"/>
        </w:rPr>
        <w:t>Trybek</w:t>
      </w:r>
      <w:proofErr w:type="spellEnd"/>
      <w:r w:rsidRPr="007052FC">
        <w:rPr>
          <w:rFonts w:eastAsia="宋体"/>
          <w:color w:val="auto"/>
          <w:szCs w:val="18"/>
        </w:rPr>
        <w:t xml:space="preserve"> T, </w:t>
      </w:r>
      <w:proofErr w:type="spellStart"/>
      <w:r w:rsidRPr="007052FC">
        <w:rPr>
          <w:rFonts w:eastAsia="宋体"/>
          <w:color w:val="auto"/>
          <w:szCs w:val="18"/>
        </w:rPr>
        <w:t>Kowalska</w:t>
      </w:r>
      <w:proofErr w:type="spellEnd"/>
      <w:r w:rsidRPr="007052FC">
        <w:rPr>
          <w:rFonts w:eastAsia="宋体"/>
          <w:color w:val="auto"/>
          <w:szCs w:val="18"/>
        </w:rPr>
        <w:t xml:space="preserve"> A, </w:t>
      </w:r>
      <w:proofErr w:type="spellStart"/>
      <w:r w:rsidRPr="007052FC">
        <w:rPr>
          <w:rFonts w:eastAsia="宋体"/>
          <w:color w:val="auto"/>
          <w:szCs w:val="18"/>
        </w:rPr>
        <w:t>Lesiak</w:t>
      </w:r>
      <w:proofErr w:type="spellEnd"/>
      <w:r w:rsidRPr="007052FC">
        <w:rPr>
          <w:rFonts w:eastAsia="宋体"/>
          <w:color w:val="auto"/>
          <w:szCs w:val="18"/>
        </w:rPr>
        <w:t xml:space="preserve"> J, </w:t>
      </w:r>
      <w:proofErr w:type="spellStart"/>
      <w:r w:rsidRPr="007052FC">
        <w:rPr>
          <w:rFonts w:eastAsia="宋体"/>
          <w:color w:val="auto"/>
          <w:szCs w:val="18"/>
        </w:rPr>
        <w:t>Młynarczyk</w:t>
      </w:r>
      <w:proofErr w:type="spellEnd"/>
      <w:r w:rsidRPr="007052FC">
        <w:rPr>
          <w:rFonts w:eastAsia="宋体"/>
          <w:color w:val="auto"/>
          <w:szCs w:val="18"/>
        </w:rPr>
        <w:t xml:space="preserve"> J. The role of 18F-Fluorodeoxyglucose Positron Emission Tomography in patients with suspected recurrence or metastatic differentiated thyroid carcinoma with elevated serum thyroglobulin and negative I-131 whole body scan. Nuclear Medicine Review. Central &amp; Eastern Europe. 2014; 17: 87–93. https://doi.org/10.5603/NMR.2014.0023.</w:t>
      </w:r>
    </w:p>
    <w:p w14:paraId="25826B72" w14:textId="467A404B" w:rsidR="002428F4" w:rsidRPr="007052FC" w:rsidRDefault="002428F4" w:rsidP="002428F4">
      <w:pPr>
        <w:pStyle w:val="Reference"/>
        <w:ind w:left="360" w:hanging="360"/>
        <w:rPr>
          <w:rFonts w:eastAsia="宋体"/>
          <w:color w:val="auto"/>
          <w:szCs w:val="18"/>
        </w:rPr>
      </w:pPr>
      <w:r w:rsidRPr="007052FC">
        <w:rPr>
          <w:rFonts w:eastAsia="宋体"/>
          <w:color w:val="auto"/>
          <w:szCs w:val="18"/>
        </w:rPr>
        <w:t>[</w:t>
      </w:r>
      <w:r>
        <w:rPr>
          <w:rFonts w:eastAsia="宋体" w:hint="eastAsia"/>
          <w:color w:val="auto"/>
          <w:szCs w:val="18"/>
          <w:lang w:eastAsia="zh-CN"/>
        </w:rPr>
        <w:t>2</w:t>
      </w:r>
      <w:r w:rsidRPr="007052FC">
        <w:rPr>
          <w:rFonts w:eastAsia="宋体"/>
          <w:color w:val="auto"/>
          <w:szCs w:val="18"/>
        </w:rPr>
        <w:t xml:space="preserve">] Boktor RR, Lee ST, </w:t>
      </w:r>
      <w:proofErr w:type="spellStart"/>
      <w:r w:rsidRPr="007052FC">
        <w:rPr>
          <w:rFonts w:eastAsia="宋体"/>
          <w:color w:val="auto"/>
          <w:szCs w:val="18"/>
        </w:rPr>
        <w:t>Berlangieri</w:t>
      </w:r>
      <w:proofErr w:type="spellEnd"/>
      <w:r w:rsidRPr="007052FC">
        <w:rPr>
          <w:rFonts w:eastAsia="宋体"/>
          <w:color w:val="auto"/>
          <w:szCs w:val="18"/>
        </w:rPr>
        <w:t xml:space="preserve"> SU, Scott AM. Impact of </w:t>
      </w:r>
      <w:r w:rsidRPr="007052FC">
        <w:rPr>
          <w:rFonts w:eastAsia="宋体"/>
          <w:color w:val="auto"/>
          <w:szCs w:val="18"/>
          <w:vertAlign w:val="superscript"/>
        </w:rPr>
        <w:t>18</w:t>
      </w:r>
      <w:r w:rsidRPr="007052FC">
        <w:rPr>
          <w:rFonts w:eastAsia="宋体"/>
          <w:color w:val="auto"/>
          <w:szCs w:val="18"/>
        </w:rPr>
        <w:t xml:space="preserve">F-FDG PET/CT on treatment of patients with differentiated thyroid carcinoma, negative </w:t>
      </w:r>
      <w:r w:rsidRPr="007052FC">
        <w:rPr>
          <w:rFonts w:eastAsia="宋体"/>
          <w:color w:val="auto"/>
          <w:szCs w:val="18"/>
          <w:vertAlign w:val="superscript"/>
        </w:rPr>
        <w:t>131</w:t>
      </w:r>
      <w:r w:rsidRPr="007052FC">
        <w:rPr>
          <w:rFonts w:eastAsia="宋体"/>
          <w:color w:val="auto"/>
          <w:szCs w:val="18"/>
        </w:rPr>
        <w:t>I whole body scan and elevated serum thyroglobulin. Asia Oceania Journal of Nuclear Medicine &amp; Biology. 2022; 10: 20–27. https://doi.org/10.22038/AOJNMB.2021.58276.1406.</w:t>
      </w:r>
    </w:p>
    <w:p w14:paraId="5CE9DF00" w14:textId="208863EE" w:rsidR="002428F4" w:rsidRPr="007052FC" w:rsidRDefault="002428F4" w:rsidP="002428F4">
      <w:pPr>
        <w:pStyle w:val="Reference"/>
        <w:ind w:left="360" w:hanging="360"/>
        <w:rPr>
          <w:rFonts w:eastAsia="宋体"/>
          <w:color w:val="auto"/>
          <w:szCs w:val="18"/>
        </w:rPr>
      </w:pPr>
      <w:r w:rsidRPr="007052FC">
        <w:rPr>
          <w:rFonts w:eastAsia="宋体"/>
          <w:color w:val="auto"/>
          <w:szCs w:val="18"/>
        </w:rPr>
        <w:t>[</w:t>
      </w:r>
      <w:r>
        <w:rPr>
          <w:rFonts w:eastAsia="宋体" w:hint="eastAsia"/>
          <w:color w:val="auto"/>
          <w:szCs w:val="18"/>
          <w:lang w:eastAsia="zh-CN"/>
        </w:rPr>
        <w:t>3</w:t>
      </w:r>
      <w:r w:rsidRPr="007052FC">
        <w:rPr>
          <w:rFonts w:eastAsia="宋体"/>
          <w:color w:val="auto"/>
          <w:szCs w:val="18"/>
        </w:rPr>
        <w:t xml:space="preserve">] </w:t>
      </w:r>
      <w:proofErr w:type="spellStart"/>
      <w:r w:rsidRPr="007052FC">
        <w:rPr>
          <w:rFonts w:eastAsia="宋体"/>
          <w:color w:val="auto"/>
          <w:szCs w:val="18"/>
        </w:rPr>
        <w:t>Kolodziej</w:t>
      </w:r>
      <w:proofErr w:type="spellEnd"/>
      <w:r w:rsidRPr="007052FC">
        <w:rPr>
          <w:rFonts w:eastAsia="宋体"/>
          <w:color w:val="auto"/>
          <w:szCs w:val="18"/>
        </w:rPr>
        <w:t xml:space="preserve"> M, </w:t>
      </w:r>
      <w:proofErr w:type="spellStart"/>
      <w:r w:rsidRPr="007052FC">
        <w:rPr>
          <w:rFonts w:eastAsia="宋体"/>
          <w:color w:val="auto"/>
          <w:szCs w:val="18"/>
        </w:rPr>
        <w:t>Saracyn</w:t>
      </w:r>
      <w:proofErr w:type="spellEnd"/>
      <w:r w:rsidRPr="007052FC">
        <w:rPr>
          <w:rFonts w:eastAsia="宋体"/>
          <w:color w:val="auto"/>
          <w:szCs w:val="18"/>
        </w:rPr>
        <w:t xml:space="preserve"> M, </w:t>
      </w:r>
      <w:proofErr w:type="spellStart"/>
      <w:r w:rsidRPr="007052FC">
        <w:rPr>
          <w:rFonts w:eastAsia="宋体"/>
          <w:color w:val="auto"/>
          <w:szCs w:val="18"/>
        </w:rPr>
        <w:t>Lubas</w:t>
      </w:r>
      <w:proofErr w:type="spellEnd"/>
      <w:r w:rsidRPr="007052FC">
        <w:rPr>
          <w:rFonts w:eastAsia="宋体"/>
          <w:color w:val="auto"/>
          <w:szCs w:val="18"/>
        </w:rPr>
        <w:t xml:space="preserve"> A, Brodowska-Kania D, Mazurek A, Dziuk M,</w:t>
      </w:r>
      <w:r w:rsidRPr="007052FC">
        <w:rPr>
          <w:rFonts w:eastAsia="宋体"/>
          <w:i/>
          <w:color w:val="auto"/>
          <w:szCs w:val="18"/>
        </w:rPr>
        <w:t xml:space="preserve"> et al</w:t>
      </w:r>
      <w:r w:rsidRPr="007052FC">
        <w:rPr>
          <w:rFonts w:eastAsia="宋体"/>
          <w:color w:val="auto"/>
          <w:szCs w:val="18"/>
        </w:rPr>
        <w:t>. Evaluation of the usefulness of positron emission tomography with [18</w:t>
      </w:r>
      <w:proofErr w:type="gramStart"/>
      <w:r w:rsidRPr="007052FC">
        <w:rPr>
          <w:rFonts w:eastAsia="宋体"/>
          <w:color w:val="auto"/>
          <w:szCs w:val="18"/>
        </w:rPr>
        <w:t>F]</w:t>
      </w:r>
      <w:proofErr w:type="spellStart"/>
      <w:r w:rsidRPr="007052FC">
        <w:rPr>
          <w:rFonts w:eastAsia="宋体"/>
          <w:color w:val="auto"/>
          <w:szCs w:val="18"/>
        </w:rPr>
        <w:t>fluorodeoxylglucose</w:t>
      </w:r>
      <w:proofErr w:type="spellEnd"/>
      <w:proofErr w:type="gramEnd"/>
      <w:r w:rsidRPr="007052FC">
        <w:rPr>
          <w:rFonts w:eastAsia="宋体"/>
          <w:color w:val="auto"/>
          <w:szCs w:val="18"/>
        </w:rPr>
        <w:t xml:space="preserve"> performed to detect non-radioiodine avid recurrence and/or metastasis of differentiated thyroid cancer - a preliminary study. Nuclear Medicine Review. Central &amp; Eastern Europe. 2021; 24: 63–69. https://doi.org/10.5603/NMR.2021.0017.</w:t>
      </w:r>
    </w:p>
    <w:p w14:paraId="43B7619C" w14:textId="6A0045F3" w:rsidR="002428F4" w:rsidRPr="007052FC" w:rsidRDefault="002428F4" w:rsidP="002428F4">
      <w:pPr>
        <w:pStyle w:val="Reference"/>
        <w:ind w:left="360" w:hanging="360"/>
        <w:rPr>
          <w:rFonts w:eastAsia="宋体"/>
          <w:color w:val="auto"/>
          <w:szCs w:val="18"/>
        </w:rPr>
      </w:pPr>
      <w:r w:rsidRPr="007052FC">
        <w:rPr>
          <w:rFonts w:eastAsia="宋体"/>
          <w:color w:val="auto"/>
          <w:szCs w:val="18"/>
        </w:rPr>
        <w:t>[</w:t>
      </w:r>
      <w:r>
        <w:rPr>
          <w:rFonts w:eastAsia="宋体" w:hint="eastAsia"/>
          <w:color w:val="auto"/>
          <w:szCs w:val="18"/>
          <w:lang w:eastAsia="zh-CN"/>
        </w:rPr>
        <w:t>4</w:t>
      </w:r>
      <w:r w:rsidRPr="007052FC">
        <w:rPr>
          <w:rFonts w:eastAsia="宋体"/>
          <w:color w:val="auto"/>
          <w:szCs w:val="18"/>
        </w:rPr>
        <w:t xml:space="preserve">] </w:t>
      </w:r>
      <w:proofErr w:type="spellStart"/>
      <w:r w:rsidRPr="007052FC">
        <w:rPr>
          <w:rFonts w:eastAsia="宋体"/>
          <w:color w:val="auto"/>
          <w:szCs w:val="18"/>
        </w:rPr>
        <w:t>Filippi</w:t>
      </w:r>
      <w:proofErr w:type="spellEnd"/>
      <w:r w:rsidRPr="007052FC">
        <w:rPr>
          <w:rFonts w:eastAsia="宋体"/>
          <w:color w:val="auto"/>
          <w:szCs w:val="18"/>
        </w:rPr>
        <w:t xml:space="preserve"> L, </w:t>
      </w:r>
      <w:proofErr w:type="spellStart"/>
      <w:r w:rsidRPr="007052FC">
        <w:rPr>
          <w:rFonts w:eastAsia="宋体"/>
          <w:color w:val="auto"/>
          <w:szCs w:val="18"/>
        </w:rPr>
        <w:t>Frantellizzi</w:t>
      </w:r>
      <w:proofErr w:type="spellEnd"/>
      <w:r w:rsidRPr="007052FC">
        <w:rPr>
          <w:rFonts w:eastAsia="宋体"/>
          <w:color w:val="auto"/>
          <w:szCs w:val="18"/>
        </w:rPr>
        <w:t xml:space="preserve"> V, </w:t>
      </w:r>
      <w:proofErr w:type="spellStart"/>
      <w:r w:rsidRPr="007052FC">
        <w:rPr>
          <w:rFonts w:eastAsia="宋体"/>
          <w:color w:val="auto"/>
          <w:szCs w:val="18"/>
        </w:rPr>
        <w:t>Monari</w:t>
      </w:r>
      <w:proofErr w:type="spellEnd"/>
      <w:r w:rsidRPr="007052FC">
        <w:rPr>
          <w:rFonts w:eastAsia="宋体"/>
          <w:color w:val="auto"/>
          <w:szCs w:val="18"/>
        </w:rPr>
        <w:t xml:space="preserve"> F, Lodi Rizzini E, </w:t>
      </w:r>
      <w:proofErr w:type="spellStart"/>
      <w:r w:rsidRPr="007052FC">
        <w:rPr>
          <w:rFonts w:eastAsia="宋体"/>
          <w:color w:val="auto"/>
          <w:szCs w:val="18"/>
        </w:rPr>
        <w:t>Tabacchi</w:t>
      </w:r>
      <w:proofErr w:type="spellEnd"/>
      <w:r w:rsidRPr="007052FC">
        <w:rPr>
          <w:rFonts w:eastAsia="宋体"/>
          <w:color w:val="auto"/>
          <w:szCs w:val="18"/>
        </w:rPr>
        <w:t xml:space="preserve"> E, </w:t>
      </w:r>
      <w:proofErr w:type="spellStart"/>
      <w:r w:rsidRPr="007052FC">
        <w:rPr>
          <w:rFonts w:eastAsia="宋体"/>
          <w:color w:val="auto"/>
          <w:szCs w:val="18"/>
        </w:rPr>
        <w:t>Pirisino</w:t>
      </w:r>
      <w:proofErr w:type="spellEnd"/>
      <w:r w:rsidRPr="007052FC">
        <w:rPr>
          <w:rFonts w:eastAsia="宋体"/>
          <w:color w:val="auto"/>
          <w:szCs w:val="18"/>
        </w:rPr>
        <w:t xml:space="preserve"> R,</w:t>
      </w:r>
      <w:r w:rsidRPr="007052FC">
        <w:rPr>
          <w:rFonts w:eastAsia="宋体"/>
          <w:i/>
          <w:color w:val="auto"/>
          <w:szCs w:val="18"/>
        </w:rPr>
        <w:t xml:space="preserve"> et al</w:t>
      </w:r>
      <w:r w:rsidRPr="007052FC">
        <w:rPr>
          <w:rFonts w:eastAsia="宋体"/>
          <w:color w:val="auto"/>
          <w:szCs w:val="18"/>
        </w:rPr>
        <w:t xml:space="preserve">. Usefulness of PET/CT with </w:t>
      </w:r>
      <w:r w:rsidRPr="007052FC">
        <w:rPr>
          <w:rFonts w:eastAsia="宋体"/>
          <w:color w:val="auto"/>
          <w:szCs w:val="18"/>
          <w:vertAlign w:val="superscript"/>
        </w:rPr>
        <w:t>18</w:t>
      </w:r>
      <w:r w:rsidRPr="007052FC">
        <w:rPr>
          <w:rFonts w:eastAsia="宋体"/>
          <w:color w:val="auto"/>
          <w:szCs w:val="18"/>
        </w:rPr>
        <w:t>F-FDG in Patients with Differentiated Thyroid Carcinoma after Radioiodine Therapy: An Italian Multicenter Study. Diagnostics (Basel, Switzerland). 2021; 11: 1264. https://doi.org/10.3390/diagnostics11071264.</w:t>
      </w:r>
    </w:p>
    <w:p w14:paraId="37948AC6" w14:textId="0C616636" w:rsidR="002428F4" w:rsidRPr="007052FC" w:rsidRDefault="002428F4" w:rsidP="002428F4">
      <w:pPr>
        <w:pStyle w:val="Reference"/>
        <w:ind w:left="360" w:hanging="360"/>
        <w:rPr>
          <w:rFonts w:eastAsia="宋体"/>
          <w:color w:val="auto"/>
          <w:szCs w:val="18"/>
        </w:rPr>
      </w:pPr>
      <w:r w:rsidRPr="007052FC">
        <w:rPr>
          <w:rFonts w:eastAsia="宋体"/>
          <w:color w:val="auto"/>
          <w:szCs w:val="18"/>
        </w:rPr>
        <w:t>[</w:t>
      </w:r>
      <w:r>
        <w:rPr>
          <w:rFonts w:eastAsia="宋体" w:hint="eastAsia"/>
          <w:color w:val="auto"/>
          <w:szCs w:val="18"/>
          <w:lang w:eastAsia="zh-CN"/>
        </w:rPr>
        <w:t>5</w:t>
      </w:r>
      <w:r w:rsidRPr="007052FC">
        <w:rPr>
          <w:rFonts w:eastAsia="宋体"/>
          <w:color w:val="auto"/>
          <w:szCs w:val="18"/>
        </w:rPr>
        <w:t xml:space="preserve">] Albano D, Tulchinsky M, </w:t>
      </w:r>
      <w:proofErr w:type="spellStart"/>
      <w:r w:rsidRPr="007052FC">
        <w:rPr>
          <w:rFonts w:eastAsia="宋体"/>
          <w:color w:val="auto"/>
          <w:szCs w:val="18"/>
        </w:rPr>
        <w:t>Dondi</w:t>
      </w:r>
      <w:proofErr w:type="spellEnd"/>
      <w:r w:rsidRPr="007052FC">
        <w:rPr>
          <w:rFonts w:eastAsia="宋体"/>
          <w:color w:val="auto"/>
          <w:szCs w:val="18"/>
        </w:rPr>
        <w:t xml:space="preserve"> F, </w:t>
      </w:r>
      <w:proofErr w:type="spellStart"/>
      <w:r w:rsidRPr="007052FC">
        <w:rPr>
          <w:rFonts w:eastAsia="宋体"/>
          <w:color w:val="auto"/>
          <w:szCs w:val="18"/>
        </w:rPr>
        <w:t>Mazzoletti</w:t>
      </w:r>
      <w:proofErr w:type="spellEnd"/>
      <w:r w:rsidRPr="007052FC">
        <w:rPr>
          <w:rFonts w:eastAsia="宋体"/>
          <w:color w:val="auto"/>
          <w:szCs w:val="18"/>
        </w:rPr>
        <w:t xml:space="preserve"> A, </w:t>
      </w:r>
      <w:proofErr w:type="spellStart"/>
      <w:r w:rsidRPr="007052FC">
        <w:rPr>
          <w:rFonts w:eastAsia="宋体"/>
          <w:color w:val="auto"/>
          <w:szCs w:val="18"/>
        </w:rPr>
        <w:t>Bertagna</w:t>
      </w:r>
      <w:proofErr w:type="spellEnd"/>
      <w:r w:rsidRPr="007052FC">
        <w:rPr>
          <w:rFonts w:eastAsia="宋体"/>
          <w:color w:val="auto"/>
          <w:szCs w:val="18"/>
        </w:rPr>
        <w:t xml:space="preserve"> F, </w:t>
      </w:r>
      <w:proofErr w:type="spellStart"/>
      <w:r w:rsidRPr="007052FC">
        <w:rPr>
          <w:rFonts w:eastAsia="宋体"/>
          <w:color w:val="auto"/>
          <w:szCs w:val="18"/>
        </w:rPr>
        <w:t>Giubbini</w:t>
      </w:r>
      <w:proofErr w:type="spellEnd"/>
      <w:r w:rsidRPr="007052FC">
        <w:rPr>
          <w:rFonts w:eastAsia="宋体"/>
          <w:color w:val="auto"/>
          <w:szCs w:val="18"/>
        </w:rPr>
        <w:t xml:space="preserve"> R. The role of </w:t>
      </w:r>
      <w:proofErr w:type="spellStart"/>
      <w:r w:rsidRPr="007052FC">
        <w:rPr>
          <w:rFonts w:eastAsia="宋体"/>
          <w:color w:val="auto"/>
          <w:szCs w:val="18"/>
        </w:rPr>
        <w:t>Tg</w:t>
      </w:r>
      <w:proofErr w:type="spellEnd"/>
      <w:r w:rsidRPr="007052FC">
        <w:rPr>
          <w:rFonts w:eastAsia="宋体"/>
          <w:color w:val="auto"/>
          <w:szCs w:val="18"/>
        </w:rPr>
        <w:t xml:space="preserve"> kinetics in predicting 2</w:t>
      </w:r>
      <w:proofErr w:type="gramStart"/>
      <w:r w:rsidRPr="007052FC">
        <w:rPr>
          <w:rFonts w:eastAsia="宋体"/>
          <w:color w:val="auto"/>
          <w:szCs w:val="18"/>
        </w:rPr>
        <w:t>-[</w:t>
      </w:r>
      <w:proofErr w:type="gramEnd"/>
      <w:r w:rsidRPr="007052FC">
        <w:rPr>
          <w:rFonts w:eastAsia="宋体"/>
          <w:color w:val="auto"/>
          <w:szCs w:val="18"/>
        </w:rPr>
        <w:t xml:space="preserve">(18)F]-FDG PET/CT results and overall survival in patients affected by differentiated thyroid carcinoma with detectable </w:t>
      </w:r>
      <w:proofErr w:type="spellStart"/>
      <w:r w:rsidRPr="007052FC">
        <w:rPr>
          <w:rFonts w:eastAsia="宋体"/>
          <w:color w:val="auto"/>
          <w:szCs w:val="18"/>
        </w:rPr>
        <w:t>Tg</w:t>
      </w:r>
      <w:proofErr w:type="spellEnd"/>
      <w:r w:rsidRPr="007052FC">
        <w:rPr>
          <w:rFonts w:eastAsia="宋体"/>
          <w:color w:val="auto"/>
          <w:szCs w:val="18"/>
        </w:rPr>
        <w:t xml:space="preserve"> and negative 131I-scan. Endocrine. 2021; 74: 332–339. https://doi.org/10.1007/s12020-021-02755-5.</w:t>
      </w:r>
    </w:p>
    <w:p w14:paraId="4059987B" w14:textId="607E6A38" w:rsidR="002428F4" w:rsidRPr="007052FC" w:rsidRDefault="002428F4" w:rsidP="002428F4">
      <w:pPr>
        <w:pStyle w:val="Reference"/>
        <w:ind w:left="360" w:hanging="360"/>
        <w:rPr>
          <w:rFonts w:eastAsia="宋体"/>
          <w:color w:val="auto"/>
          <w:szCs w:val="18"/>
        </w:rPr>
      </w:pPr>
      <w:r w:rsidRPr="007052FC">
        <w:rPr>
          <w:rFonts w:eastAsia="宋体"/>
          <w:color w:val="auto"/>
          <w:szCs w:val="18"/>
        </w:rPr>
        <w:t>[</w:t>
      </w:r>
      <w:r>
        <w:rPr>
          <w:rFonts w:eastAsia="宋体" w:hint="eastAsia"/>
          <w:color w:val="auto"/>
          <w:szCs w:val="18"/>
          <w:lang w:eastAsia="zh-CN"/>
        </w:rPr>
        <w:t>6</w:t>
      </w:r>
      <w:r w:rsidRPr="007052FC">
        <w:rPr>
          <w:rFonts w:eastAsia="宋体"/>
          <w:color w:val="auto"/>
          <w:szCs w:val="18"/>
        </w:rPr>
        <w:t>] Choi SJ, Jung KP, Lee SS, Park YS, Lee SM, Bae SK. Clinical Usefulness of F-18 FDG PET/CT in Papillary Thyroid Cancer with Negative Radioiodine Scan and Elevated Thyroglobulin Level or Positive Anti-thyroglobulin Antibody. Nuclear Medicine and Molecular Imaging. 2016; 50: 130–136. https://doi.org/10.1007/s13139-015-0378-5.</w:t>
      </w:r>
    </w:p>
    <w:p w14:paraId="46771D43" w14:textId="7D271460" w:rsidR="002428F4" w:rsidRPr="007052FC" w:rsidRDefault="002428F4" w:rsidP="002428F4">
      <w:pPr>
        <w:pStyle w:val="Reference"/>
        <w:ind w:left="360" w:hanging="360"/>
        <w:rPr>
          <w:rFonts w:eastAsia="宋体"/>
          <w:color w:val="auto"/>
          <w:szCs w:val="18"/>
        </w:rPr>
      </w:pPr>
      <w:r w:rsidRPr="007052FC">
        <w:rPr>
          <w:rFonts w:eastAsia="宋体"/>
          <w:color w:val="auto"/>
          <w:szCs w:val="18"/>
        </w:rPr>
        <w:t>[</w:t>
      </w:r>
      <w:r>
        <w:rPr>
          <w:rFonts w:eastAsia="宋体" w:hint="eastAsia"/>
          <w:color w:val="auto"/>
          <w:szCs w:val="18"/>
          <w:lang w:eastAsia="zh-CN"/>
        </w:rPr>
        <w:t>7</w:t>
      </w:r>
      <w:r w:rsidRPr="007052FC">
        <w:rPr>
          <w:rFonts w:eastAsia="宋体"/>
          <w:color w:val="auto"/>
          <w:szCs w:val="18"/>
        </w:rPr>
        <w:t>] Prestwich RJD, Viner S, Gerrard G, Patel CN, Scarsbrook AF. Increasing the yield of recombinant thyroid-stimulating hormone-stimulated 2-(18-fluoride)-flu-2-deoxy-D-glucose positron emission tomography-CT in patients with differentiated thyroid carcinoma. The British Journal of Radiology. 2012; 85: e805–e813. https://doi.org/10.1259/bjr/26733491.</w:t>
      </w:r>
    </w:p>
    <w:p w14:paraId="0FFEE6CE" w14:textId="359C332C" w:rsidR="002428F4" w:rsidRPr="007052FC" w:rsidRDefault="002428F4" w:rsidP="002428F4">
      <w:pPr>
        <w:pStyle w:val="Reference"/>
        <w:ind w:left="360" w:hanging="360"/>
        <w:rPr>
          <w:rFonts w:eastAsia="宋体"/>
          <w:color w:val="auto"/>
          <w:szCs w:val="18"/>
        </w:rPr>
      </w:pPr>
      <w:r w:rsidRPr="007052FC">
        <w:rPr>
          <w:rFonts w:eastAsia="宋体"/>
          <w:color w:val="auto"/>
          <w:szCs w:val="18"/>
        </w:rPr>
        <w:t>[</w:t>
      </w:r>
      <w:r>
        <w:rPr>
          <w:rFonts w:eastAsia="宋体" w:hint="eastAsia"/>
          <w:color w:val="auto"/>
          <w:szCs w:val="18"/>
          <w:lang w:eastAsia="zh-CN"/>
        </w:rPr>
        <w:t>8</w:t>
      </w:r>
      <w:r w:rsidRPr="007052FC">
        <w:rPr>
          <w:rFonts w:eastAsia="宋体"/>
          <w:color w:val="auto"/>
          <w:szCs w:val="18"/>
        </w:rPr>
        <w:t xml:space="preserve">] Döner RK, Sager S, </w:t>
      </w:r>
      <w:proofErr w:type="spellStart"/>
      <w:r w:rsidRPr="007052FC">
        <w:rPr>
          <w:rFonts w:eastAsia="宋体"/>
          <w:color w:val="auto"/>
          <w:szCs w:val="18"/>
        </w:rPr>
        <w:t>Görtan</w:t>
      </w:r>
      <w:proofErr w:type="spellEnd"/>
      <w:r w:rsidRPr="007052FC">
        <w:rPr>
          <w:rFonts w:eastAsia="宋体"/>
          <w:color w:val="auto"/>
          <w:szCs w:val="18"/>
        </w:rPr>
        <w:t xml:space="preserve"> FA, </w:t>
      </w:r>
      <w:proofErr w:type="spellStart"/>
      <w:r w:rsidRPr="007052FC">
        <w:rPr>
          <w:rFonts w:eastAsia="宋体"/>
          <w:color w:val="auto"/>
          <w:szCs w:val="18"/>
        </w:rPr>
        <w:t>Topuz</w:t>
      </w:r>
      <w:proofErr w:type="spellEnd"/>
      <w:r w:rsidRPr="007052FC">
        <w:rPr>
          <w:rFonts w:eastAsia="宋体"/>
          <w:color w:val="auto"/>
          <w:szCs w:val="18"/>
        </w:rPr>
        <w:t xml:space="preserve"> ÖV, </w:t>
      </w:r>
      <w:proofErr w:type="spellStart"/>
      <w:r w:rsidRPr="007052FC">
        <w:rPr>
          <w:rFonts w:eastAsia="宋体"/>
          <w:color w:val="auto"/>
          <w:szCs w:val="18"/>
        </w:rPr>
        <w:t>Akyel</w:t>
      </w:r>
      <w:proofErr w:type="spellEnd"/>
      <w:r w:rsidRPr="007052FC">
        <w:rPr>
          <w:rFonts w:eastAsia="宋体"/>
          <w:color w:val="auto"/>
          <w:szCs w:val="18"/>
        </w:rPr>
        <w:t xml:space="preserve"> R, </w:t>
      </w:r>
      <w:proofErr w:type="spellStart"/>
      <w:r w:rsidRPr="007052FC">
        <w:rPr>
          <w:rFonts w:eastAsia="宋体"/>
          <w:color w:val="auto"/>
          <w:szCs w:val="18"/>
        </w:rPr>
        <w:t>Vatankulu</w:t>
      </w:r>
      <w:proofErr w:type="spellEnd"/>
      <w:r w:rsidRPr="007052FC">
        <w:rPr>
          <w:rFonts w:eastAsia="宋体"/>
          <w:color w:val="auto"/>
          <w:szCs w:val="18"/>
        </w:rPr>
        <w:t xml:space="preserve"> B,</w:t>
      </w:r>
      <w:r w:rsidRPr="007052FC">
        <w:rPr>
          <w:rFonts w:eastAsia="宋体"/>
          <w:i/>
          <w:color w:val="auto"/>
          <w:szCs w:val="18"/>
        </w:rPr>
        <w:t xml:space="preserve"> et al</w:t>
      </w:r>
      <w:r w:rsidRPr="007052FC">
        <w:rPr>
          <w:rFonts w:eastAsia="宋体"/>
          <w:color w:val="auto"/>
          <w:szCs w:val="18"/>
        </w:rPr>
        <w:t>. What is the role of florine-18 fluorodeoxyglucose/positron emission tomography/computed tomography imaging in well-differentiated thyroid cancers with negative iodine-131 scan high thyroglobulin and normal anti-thyroglobulin levels. Journal of Cancer Research and Therapeutics. 2016; 12: 1010–1017. https://doi.org/10.4103/0973-1482.176412.</w:t>
      </w:r>
    </w:p>
    <w:p w14:paraId="6E47A46E" w14:textId="77777777" w:rsidR="002428F4" w:rsidRPr="002428F4" w:rsidRDefault="002428F4" w:rsidP="002428F4">
      <w:pPr>
        <w:pStyle w:val="Backmatter"/>
        <w:spacing w:before="156" w:after="156"/>
        <w:rPr>
          <w:rFonts w:eastAsiaTheme="minorEastAsia"/>
          <w:lang w:eastAsia="zh-CN"/>
        </w:rPr>
      </w:pPr>
    </w:p>
    <w:p w14:paraId="2931FADC" w14:textId="77777777" w:rsidR="002428F4" w:rsidRPr="008E1027" w:rsidRDefault="002428F4">
      <w:pPr>
        <w:ind w:firstLine="420"/>
      </w:pPr>
    </w:p>
    <w:sectPr w:rsidR="002428F4" w:rsidRPr="008E10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DAA28" w14:textId="77777777" w:rsidR="00576204" w:rsidRDefault="00576204" w:rsidP="008E1027">
      <w:r>
        <w:separator/>
      </w:r>
    </w:p>
  </w:endnote>
  <w:endnote w:type="continuationSeparator" w:id="0">
    <w:p w14:paraId="23875005" w14:textId="77777777" w:rsidR="00576204" w:rsidRDefault="00576204" w:rsidP="008E1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Times New Roman Bold">
    <w:panose1 w:val="02020803070505020304"/>
    <w:charset w:val="00"/>
    <w:family w:val="auto"/>
    <w:pitch w:val="default"/>
    <w:sig w:usb0="E0002AEF" w:usb1="C0007841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6888D" w14:textId="77777777" w:rsidR="00576204" w:rsidRDefault="00576204" w:rsidP="008E1027">
      <w:r>
        <w:separator/>
      </w:r>
    </w:p>
  </w:footnote>
  <w:footnote w:type="continuationSeparator" w:id="0">
    <w:p w14:paraId="220FF05B" w14:textId="77777777" w:rsidR="00576204" w:rsidRDefault="00576204" w:rsidP="008E1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98D"/>
    <w:rsid w:val="00006680"/>
    <w:rsid w:val="00030889"/>
    <w:rsid w:val="00071FFA"/>
    <w:rsid w:val="000877FC"/>
    <w:rsid w:val="000C10C2"/>
    <w:rsid w:val="000E0C2E"/>
    <w:rsid w:val="000F567D"/>
    <w:rsid w:val="000F60B7"/>
    <w:rsid w:val="00152EA0"/>
    <w:rsid w:val="0015398D"/>
    <w:rsid w:val="001A0711"/>
    <w:rsid w:val="002428F4"/>
    <w:rsid w:val="002B6333"/>
    <w:rsid w:val="00304C1C"/>
    <w:rsid w:val="003370A1"/>
    <w:rsid w:val="00345174"/>
    <w:rsid w:val="003540FA"/>
    <w:rsid w:val="0038714A"/>
    <w:rsid w:val="00415F84"/>
    <w:rsid w:val="00441AD2"/>
    <w:rsid w:val="004C5BE2"/>
    <w:rsid w:val="004E529B"/>
    <w:rsid w:val="005175EA"/>
    <w:rsid w:val="00552495"/>
    <w:rsid w:val="00576204"/>
    <w:rsid w:val="00600382"/>
    <w:rsid w:val="006373EF"/>
    <w:rsid w:val="00640B65"/>
    <w:rsid w:val="006624B1"/>
    <w:rsid w:val="006C7405"/>
    <w:rsid w:val="0070511A"/>
    <w:rsid w:val="0071477E"/>
    <w:rsid w:val="007445BF"/>
    <w:rsid w:val="007505E7"/>
    <w:rsid w:val="007745D7"/>
    <w:rsid w:val="007B334F"/>
    <w:rsid w:val="007D0CCC"/>
    <w:rsid w:val="00810132"/>
    <w:rsid w:val="00810C47"/>
    <w:rsid w:val="0083031C"/>
    <w:rsid w:val="00875377"/>
    <w:rsid w:val="00896058"/>
    <w:rsid w:val="008E1027"/>
    <w:rsid w:val="0090252B"/>
    <w:rsid w:val="00965AA5"/>
    <w:rsid w:val="00A277B8"/>
    <w:rsid w:val="00A36E11"/>
    <w:rsid w:val="00A479E5"/>
    <w:rsid w:val="00A70FA3"/>
    <w:rsid w:val="00B10CCE"/>
    <w:rsid w:val="00B64E19"/>
    <w:rsid w:val="00B924BA"/>
    <w:rsid w:val="00B93363"/>
    <w:rsid w:val="00B94C7F"/>
    <w:rsid w:val="00BC04A1"/>
    <w:rsid w:val="00C25762"/>
    <w:rsid w:val="00CB2603"/>
    <w:rsid w:val="00CD267D"/>
    <w:rsid w:val="00D56CE2"/>
    <w:rsid w:val="00D75792"/>
    <w:rsid w:val="00E1353C"/>
    <w:rsid w:val="00E16972"/>
    <w:rsid w:val="00E26481"/>
    <w:rsid w:val="00E470AA"/>
    <w:rsid w:val="00E4715E"/>
    <w:rsid w:val="00E6286C"/>
    <w:rsid w:val="00E738F5"/>
    <w:rsid w:val="00EB2AB2"/>
    <w:rsid w:val="00F10D4C"/>
    <w:rsid w:val="00F16167"/>
    <w:rsid w:val="00F73AB7"/>
    <w:rsid w:val="00FC6F3C"/>
    <w:rsid w:val="00FE0AA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3855B7"/>
  <w15:chartTrackingRefBased/>
  <w15:docId w15:val="{3E29C484-1B16-445D-9FAA-69CA7A94F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 w:uiPriority="20" w:qFormat="1"/>
    <w:lsdException w:name="header" w:semiHidden="1" w:uiPriority="99" w:qFormat="1"/>
    <w:lsdException w:name="footer" w:semiHidden="1" w:uiPriority="99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99" w:qFormat="1"/>
    <w:lsdException w:name="line number" w:semiHidden="1" w:uiPriority="99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qFormat="1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398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3540FA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3540FA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3540FA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styleId="4">
    <w:name w:val="heading 4"/>
    <w:basedOn w:val="a"/>
    <w:next w:val="a"/>
    <w:link w:val="40"/>
    <w:uiPriority w:val="9"/>
    <w:semiHidden/>
    <w:qFormat/>
    <w:rsid w:val="00A479E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A479E5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A479E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A479E5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A479E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3540FA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3540FA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3540FA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3540FA"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3540FA"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3540FA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3540FA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3540FA"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2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3540FA"/>
    <w:rPr>
      <w:rFonts w:eastAsia="Times New Roman"/>
      <w:snapToGrid w:val="0"/>
      <w:color w:val="000000"/>
      <w:sz w:val="21"/>
      <w:szCs w:val="22"/>
      <w:lang w:eastAsia="de-DE" w:bidi="en-US"/>
    </w:rPr>
  </w:style>
  <w:style w:type="paragraph" w:customStyle="1" w:styleId="E-mail">
    <w:name w:val="E-mail"/>
    <w:link w:val="E-mail0"/>
    <w:uiPriority w:val="4"/>
    <w:qFormat/>
    <w:rsid w:val="003540FA"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3540FA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3540FA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3540FA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3540FA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rontmatter">
    <w:name w:val="Front matter"/>
    <w:uiPriority w:val="4"/>
    <w:qFormat/>
    <w:rsid w:val="003540FA"/>
    <w:pPr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2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3540FA"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3540FA"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3540FA"/>
    <w:rPr>
      <w:rFonts w:eastAsia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3540FA"/>
    <w:rPr>
      <w:rFonts w:eastAsia="Times New Roman"/>
      <w:b/>
      <w:bCs/>
      <w:i/>
      <w:noProof/>
      <w:color w:val="00000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3540FA"/>
    <w:rPr>
      <w:rFonts w:eastAsia="Times New Roman"/>
      <w:bCs/>
      <w:i/>
      <w:noProof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479E5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479E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479E5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Reference">
    <w:name w:val="Reference"/>
    <w:link w:val="Reference0"/>
    <w:uiPriority w:val="19"/>
    <w:qFormat/>
    <w:rsid w:val="003540FA"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3540FA"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3540FA"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3540FA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3540FA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3540FA"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3540FA"/>
    <w:rPr>
      <w:rFonts w:eastAsia="Times New Roman"/>
      <w:snapToGrid w:val="0"/>
      <w:color w:val="000000"/>
      <w:sz w:val="21"/>
      <w:szCs w:val="28"/>
      <w:lang w:eastAsia="de-DE" w:bidi="en-US"/>
    </w:rPr>
  </w:style>
  <w:style w:type="paragraph" w:styleId="a3">
    <w:name w:val="annotation text"/>
    <w:aliases w:val="Comment Text"/>
    <w:basedOn w:val="a"/>
    <w:link w:val="a4"/>
    <w:uiPriority w:val="20"/>
    <w:qFormat/>
    <w:rsid w:val="007445BF"/>
    <w:pPr>
      <w:widowControl/>
      <w:adjustRightInd w:val="0"/>
      <w:snapToGrid w:val="0"/>
      <w:jc w:val="left"/>
    </w:pPr>
    <w:rPr>
      <w:rFonts w:ascii="Times New Roman" w:eastAsia="Times New Roman" w:hAnsi="Times New Roman" w:cs="Times New Roman"/>
      <w:kern w:val="0"/>
      <w:szCs w:val="21"/>
      <w:lang w:eastAsia="es-ES"/>
    </w:rPr>
  </w:style>
  <w:style w:type="character" w:customStyle="1" w:styleId="a4">
    <w:name w:val="批注文字 字符"/>
    <w:aliases w:val="Comment Text 字符"/>
    <w:basedOn w:val="a0"/>
    <w:link w:val="a3"/>
    <w:uiPriority w:val="20"/>
    <w:qFormat/>
    <w:rsid w:val="007445BF"/>
    <w:rPr>
      <w:rFonts w:eastAsia="Times New Roman"/>
      <w:sz w:val="21"/>
      <w:szCs w:val="21"/>
      <w:lang w:eastAsia="es-ES"/>
    </w:rPr>
  </w:style>
  <w:style w:type="paragraph" w:styleId="a5">
    <w:name w:val="header"/>
    <w:basedOn w:val="a"/>
    <w:link w:val="a6"/>
    <w:uiPriority w:val="99"/>
    <w:semiHidden/>
    <w:qFormat/>
    <w:rsid w:val="008E10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8E102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semiHidden/>
    <w:qFormat/>
    <w:rsid w:val="008E10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8E102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3F586-8EA9-4251-9371-77867E7FD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690</Words>
  <Characters>4480</Characters>
  <Application>Microsoft Office Word</Application>
  <DocSecurity>0</DocSecurity>
  <Lines>37</Lines>
  <Paragraphs>10</Paragraphs>
  <ScaleCrop>false</ScaleCrop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</dc:creator>
  <cp:keywords/>
  <dc:description/>
  <cp:lastModifiedBy>汤杨蓝</cp:lastModifiedBy>
  <cp:revision>12</cp:revision>
  <dcterms:created xsi:type="dcterms:W3CDTF">2026-02-05T08:14:00Z</dcterms:created>
  <dcterms:modified xsi:type="dcterms:W3CDTF">2026-03-10T08:41:00Z</dcterms:modified>
</cp:coreProperties>
</file>